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951F73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951F73" w:rsidRPr="001B42CA" w:rsidRDefault="00951F73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DB5BD1" w:rsidRDefault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9F7F50" w:rsidRDefault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915C86" w:rsidRDefault="008B5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951F73" w:rsidRPr="001B42CA" w:rsidRDefault="00951F73">
      <w:pPr>
        <w:ind w:left="3714"/>
        <w:rPr>
          <w:sz w:val="18"/>
          <w:szCs w:val="18"/>
        </w:rPr>
      </w:pPr>
    </w:p>
    <w:p w:rsidR="00951F73" w:rsidRPr="001B42CA" w:rsidRDefault="00951F73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51F73" w:rsidRPr="001B42CA" w:rsidTr="008B5D36">
        <w:trPr>
          <w:trHeight w:val="340"/>
          <w:jc w:val="right"/>
        </w:trPr>
        <w:tc>
          <w:tcPr>
            <w:tcW w:w="369" w:type="dxa"/>
            <w:vAlign w:val="center"/>
          </w:tcPr>
          <w:p w:rsidR="00951F73" w:rsidRPr="001B42C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951F73" w:rsidRPr="00E3136A" w:rsidRDefault="008B5D36" w:rsidP="008B5D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:rsidR="00951F73" w:rsidRPr="001B42CA" w:rsidRDefault="00951F73" w:rsidP="00A3066B">
      <w:pPr>
        <w:ind w:left="2552"/>
        <w:jc w:val="center"/>
        <w:rPr>
          <w:b/>
        </w:rPr>
      </w:pPr>
      <w:r>
        <w:rPr>
          <w:b/>
        </w:rPr>
        <w:t>ПАО Московская Биржа</w:t>
      </w:r>
    </w:p>
    <w:p w:rsidR="00951F73" w:rsidRPr="001B42CA" w:rsidRDefault="00951F73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951F73" w:rsidRPr="001B42CA" w:rsidRDefault="00951F73" w:rsidP="00A3066B">
      <w:pPr>
        <w:ind w:left="2552" w:right="-2"/>
        <w:jc w:val="center"/>
        <w:rPr>
          <w:sz w:val="24"/>
          <w:szCs w:val="24"/>
        </w:rPr>
      </w:pPr>
    </w:p>
    <w:p w:rsidR="00951F73" w:rsidRPr="001B42CA" w:rsidRDefault="00951F73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1B42CA">
        <w:t>)</w:t>
      </w:r>
    </w:p>
    <w:p w:rsidR="00951F73" w:rsidRPr="001B42CA" w:rsidRDefault="00951F73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951F73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951F73" w:rsidRPr="001B42CA" w:rsidRDefault="00951F73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1B42CA" w:rsidRDefault="00951F73" w:rsidP="00A3066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951F73" w:rsidRPr="001B42CA" w:rsidRDefault="00951F73" w:rsidP="004F70F9">
      <w:pPr>
        <w:ind w:left="3714"/>
        <w:rPr>
          <w:sz w:val="18"/>
          <w:szCs w:val="18"/>
        </w:rPr>
      </w:pPr>
    </w:p>
    <w:p w:rsidR="00951F73" w:rsidRPr="001B42CA" w:rsidRDefault="00951F73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951F73" w:rsidRPr="001B42CA" w:rsidTr="00A3066B">
        <w:trPr>
          <w:trHeight w:val="340"/>
          <w:jc w:val="right"/>
        </w:trPr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1B42CA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951F73" w:rsidRPr="00BD4547" w:rsidRDefault="00951F73" w:rsidP="00A306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1F73" w:rsidRPr="00BD4547" w:rsidRDefault="00951F73" w:rsidP="00A3066B">
      <w:pPr>
        <w:ind w:left="2552"/>
        <w:jc w:val="center"/>
        <w:rPr>
          <w:sz w:val="22"/>
          <w:szCs w:val="24"/>
          <w:lang w:val="en-US"/>
        </w:rPr>
      </w:pPr>
    </w:p>
    <w:p w:rsidR="00951F73" w:rsidRPr="001B42CA" w:rsidRDefault="00951F73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обращения)</w:t>
      </w:r>
    </w:p>
    <w:p w:rsidR="00951F73" w:rsidRPr="001B42CA" w:rsidRDefault="00951F73" w:rsidP="00A3066B">
      <w:pPr>
        <w:ind w:left="2552" w:right="-2"/>
        <w:jc w:val="center"/>
        <w:rPr>
          <w:sz w:val="22"/>
          <w:szCs w:val="24"/>
        </w:rPr>
      </w:pPr>
    </w:p>
    <w:p w:rsidR="00951F73" w:rsidRPr="001B42CA" w:rsidRDefault="00951F73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 лица биржи, допустившей биржевые облигации к торгам в процессе их обращения)</w:t>
      </w:r>
    </w:p>
    <w:p w:rsidR="00951F73" w:rsidRPr="001B42CA" w:rsidRDefault="00951F73" w:rsidP="004F70F9">
      <w:pPr>
        <w:spacing w:before="240"/>
        <w:ind w:left="3714"/>
        <w:jc w:val="center"/>
      </w:pPr>
      <w:r w:rsidRPr="001B42CA">
        <w:t>(печать)</w:t>
      </w:r>
    </w:p>
    <w:p w:rsidR="00951F73" w:rsidRDefault="00951F73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951F73" w:rsidRPr="008337C6" w:rsidRDefault="00951F73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ОБЛИГАЦИЙ </w:t>
      </w:r>
    </w:p>
    <w:p w:rsidR="00951F73" w:rsidRPr="008337C6" w:rsidRDefault="00951F73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:rsidR="00951F73" w:rsidRPr="00132894" w:rsidRDefault="00951F73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951F73" w:rsidRPr="00DB5BD1" w:rsidRDefault="00951F73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951F73" w:rsidRPr="00A40D96" w:rsidRDefault="00951F73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951F73" w:rsidRPr="003C05DD" w:rsidRDefault="00951F73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 xml:space="preserve">биржевые </w:t>
      </w:r>
      <w:r w:rsidRPr="007C0AD1">
        <w:rPr>
          <w:b/>
          <w:bCs/>
          <w:i/>
          <w:iCs/>
          <w:sz w:val="22"/>
          <w:szCs w:val="22"/>
        </w:rPr>
        <w:t xml:space="preserve">облигации неконвертируемые процентные документарные на предъявителя с обязательным централизованным хранением </w:t>
      </w:r>
      <w:r w:rsidRPr="00F645DC">
        <w:rPr>
          <w:b/>
          <w:bCs/>
          <w:i/>
          <w:iCs/>
          <w:color w:val="000000" w:themeColor="text1"/>
          <w:sz w:val="22"/>
          <w:szCs w:val="22"/>
        </w:rPr>
        <w:t>серии 001Р-04 в количестве 10 000 000 (Десять миллионов)  штук, номинальной стоимостью 1 000 (Одна тысяча) российских рублей каждая, общей номинальной стоимостью 10 000 000 000 (Десять миллиардов</w:t>
      </w:r>
      <w:r w:rsidRPr="007C0AD1">
        <w:rPr>
          <w:b/>
          <w:bCs/>
          <w:i/>
          <w:iCs/>
          <w:sz w:val="22"/>
          <w:szCs w:val="22"/>
        </w:rPr>
        <w:t xml:space="preserve">) рублей, со сроком погашения в </w:t>
      </w:r>
      <w:r w:rsidRPr="007C0AD1">
        <w:rPr>
          <w:b/>
          <w:bCs/>
          <w:i/>
          <w:iCs/>
          <w:color w:val="000000"/>
          <w:sz w:val="22"/>
          <w:szCs w:val="22"/>
        </w:rPr>
        <w:t>5 460 (Пять тысяч четыреста шестидесятый) день с даты начала размещения биржевых облигаций, размещаемые по отрытой подписке</w:t>
      </w:r>
    </w:p>
    <w:p w:rsidR="00951F73" w:rsidRPr="003C05DD" w:rsidRDefault="00951F73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951F73" w:rsidRPr="00A40D96" w:rsidRDefault="00951F73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 xml:space="preserve">Программа биржевых облигаций </w:t>
      </w:r>
      <w:r w:rsidRPr="007D0836">
        <w:rPr>
          <w:b/>
          <w:bCs/>
          <w:i/>
          <w:iCs/>
          <w:sz w:val="22"/>
          <w:szCs w:val="22"/>
        </w:rPr>
        <w:t xml:space="preserve">неконвертируемых процентных документарных </w:t>
      </w:r>
      <w:r w:rsidRPr="00A40D96">
        <w:rPr>
          <w:b/>
          <w:bCs/>
          <w:i/>
          <w:iCs/>
          <w:sz w:val="22"/>
          <w:szCs w:val="22"/>
        </w:rPr>
        <w:t>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>
        <w:rPr>
          <w:b/>
          <w:bCs/>
          <w:i/>
          <w:iCs/>
          <w:sz w:val="22"/>
          <w:szCs w:val="22"/>
        </w:rPr>
        <w:t xml:space="preserve">        </w:t>
      </w:r>
      <w:r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Pr="002C5E3D">
        <w:rPr>
          <w:b/>
          <w:i/>
          <w:sz w:val="22"/>
          <w:szCs w:val="22"/>
        </w:rPr>
        <w:t>4-32432-</w:t>
      </w:r>
      <w:r>
        <w:rPr>
          <w:b/>
          <w:i/>
          <w:sz w:val="22"/>
          <w:szCs w:val="22"/>
          <w:lang w:val="en-US"/>
        </w:rPr>
        <w:t>H</w:t>
      </w:r>
      <w:r w:rsidRPr="002C5E3D">
        <w:rPr>
          <w:b/>
          <w:i/>
          <w:sz w:val="22"/>
          <w:szCs w:val="22"/>
        </w:rPr>
        <w:t>-001</w:t>
      </w:r>
      <w:r>
        <w:rPr>
          <w:b/>
          <w:i/>
          <w:sz w:val="22"/>
          <w:szCs w:val="22"/>
          <w:lang w:val="en-US"/>
        </w:rPr>
        <w:t>P</w:t>
      </w:r>
      <w:r w:rsidRPr="002C5E3D">
        <w:rPr>
          <w:b/>
          <w:i/>
          <w:sz w:val="22"/>
          <w:szCs w:val="22"/>
        </w:rPr>
        <w:t>-02</w:t>
      </w:r>
      <w:r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</w:t>
      </w:r>
      <w:r w:rsidRPr="002C5E3D">
        <w:rPr>
          <w:b/>
          <w:bCs/>
          <w:i/>
          <w:iCs/>
          <w:sz w:val="22"/>
          <w:szCs w:val="22"/>
        </w:rPr>
        <w:t>.08</w:t>
      </w:r>
      <w:r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:rsidR="00951F73" w:rsidRPr="00A40D96" w:rsidRDefault="00951F73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951F73" w:rsidRPr="00A40D96" w:rsidRDefault="00951F73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>
        <w:rPr>
          <w:b/>
          <w:i/>
          <w:sz w:val="22"/>
          <w:szCs w:val="22"/>
        </w:rPr>
        <w:t>001Р</w:t>
      </w:r>
    </w:p>
    <w:p w:rsidR="00951F73" w:rsidRPr="008A23BA" w:rsidRDefault="00951F73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Pr="002C5E3D">
        <w:rPr>
          <w:sz w:val="22"/>
          <w:szCs w:val="22"/>
        </w:rPr>
        <w:t>001</w:t>
      </w:r>
      <w:r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Pr="002C5E3D"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бессрочная</w:t>
      </w:r>
    </w:p>
    <w:p w:rsidR="00951F73" w:rsidRDefault="00951F73" w:rsidP="008337C6">
      <w:pPr>
        <w:spacing w:before="120" w:after="120"/>
        <w:jc w:val="both"/>
        <w:rPr>
          <w:sz w:val="24"/>
          <w:szCs w:val="24"/>
        </w:rPr>
      </w:pPr>
    </w:p>
    <w:p w:rsidR="00951F73" w:rsidRPr="00802871" w:rsidRDefault="00951F73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Утверждены решением </w:t>
      </w:r>
      <w:r w:rsidRPr="00A40D96">
        <w:rPr>
          <w:sz w:val="24"/>
          <w:szCs w:val="24"/>
        </w:rPr>
        <w:t xml:space="preserve">Генерального директора </w:t>
      </w:r>
      <w:r>
        <w:rPr>
          <w:sz w:val="24"/>
          <w:szCs w:val="24"/>
        </w:rPr>
        <w:t>Публичного акционерного о</w:t>
      </w:r>
      <w:r w:rsidRPr="00A40D96">
        <w:rPr>
          <w:sz w:val="24"/>
          <w:szCs w:val="24"/>
        </w:rPr>
        <w:t xml:space="preserve">бщества </w:t>
      </w:r>
      <w:r w:rsidRPr="00C620BE">
        <w:rPr>
          <w:sz w:val="24"/>
          <w:szCs w:val="24"/>
        </w:rPr>
        <w:t>«Государственная транспортная лизинговая компания»</w:t>
      </w:r>
      <w:r w:rsidRPr="00A40D96">
        <w:rPr>
          <w:sz w:val="24"/>
          <w:szCs w:val="24"/>
        </w:rPr>
        <w:t xml:space="preserve"> об утверждении Условий выпуска </w:t>
      </w:r>
      <w:r w:rsidRPr="003567CC">
        <w:rPr>
          <w:sz w:val="24"/>
          <w:szCs w:val="24"/>
        </w:rPr>
        <w:t>биржевых облигаций в рамках Программы биржевых облигаций серии 001Р</w:t>
      </w:r>
      <w:r w:rsidRPr="001A643B">
        <w:rPr>
          <w:sz w:val="24"/>
          <w:szCs w:val="24"/>
        </w:rPr>
        <w:t xml:space="preserve">, </w:t>
      </w:r>
      <w:r w:rsidRPr="007C0AD1">
        <w:rPr>
          <w:sz w:val="24"/>
          <w:szCs w:val="24"/>
        </w:rPr>
        <w:t>принятым «</w:t>
      </w:r>
      <w:r w:rsidR="00F645DC">
        <w:rPr>
          <w:sz w:val="24"/>
          <w:szCs w:val="24"/>
        </w:rPr>
        <w:t>1</w:t>
      </w:r>
      <w:r w:rsidR="00DF1C45">
        <w:rPr>
          <w:sz w:val="24"/>
          <w:szCs w:val="24"/>
        </w:rPr>
        <w:t>7</w:t>
      </w:r>
      <w:r w:rsidRPr="007C0AD1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7C0AD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C0AD1">
          <w:rPr>
            <w:sz w:val="24"/>
            <w:szCs w:val="24"/>
          </w:rPr>
          <w:t>2017 г</w:t>
        </w:r>
      </w:smartTag>
      <w:r w:rsidRPr="007C0AD1">
        <w:rPr>
          <w:sz w:val="24"/>
          <w:szCs w:val="24"/>
        </w:rPr>
        <w:t>., Приказ от «</w:t>
      </w:r>
      <w:r w:rsidR="00F645DC">
        <w:rPr>
          <w:sz w:val="24"/>
          <w:szCs w:val="24"/>
        </w:rPr>
        <w:t>1</w:t>
      </w:r>
      <w:r w:rsidR="00CC1AE5">
        <w:rPr>
          <w:sz w:val="24"/>
          <w:szCs w:val="24"/>
        </w:rPr>
        <w:t>7</w:t>
      </w:r>
      <w:r w:rsidRPr="007C0AD1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7C0AD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7C0AD1">
          <w:rPr>
            <w:sz w:val="24"/>
            <w:szCs w:val="24"/>
          </w:rPr>
          <w:t>2017 г</w:t>
        </w:r>
      </w:smartTag>
      <w:r w:rsidRPr="007C0AD1">
        <w:rPr>
          <w:sz w:val="24"/>
          <w:szCs w:val="24"/>
        </w:rPr>
        <w:t xml:space="preserve">.  № </w:t>
      </w:r>
      <w:r w:rsidR="008F55E1">
        <w:rPr>
          <w:sz w:val="24"/>
          <w:szCs w:val="24"/>
        </w:rPr>
        <w:t>070</w:t>
      </w:r>
      <w:r w:rsidRPr="00C6634C">
        <w:rPr>
          <w:sz w:val="24"/>
          <w:szCs w:val="24"/>
        </w:rPr>
        <w:t>.</w:t>
      </w:r>
    </w:p>
    <w:p w:rsidR="00951F73" w:rsidRPr="00802871" w:rsidRDefault="00951F73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Pr="00C620BE">
        <w:rPr>
          <w:sz w:val="24"/>
          <w:szCs w:val="24"/>
        </w:rPr>
        <w:t>Распоряжения единственного акционера Публичного акционерного общества «Государственная транспортная лизинговая компания» об утверждении первой части решения о выпуске ценных бумаг (Программы биржевых облигаций серии 001Р)</w:t>
      </w:r>
      <w:r w:rsidRPr="00802871">
        <w:rPr>
          <w:sz w:val="24"/>
          <w:szCs w:val="24"/>
        </w:rPr>
        <w:t>, принятого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., </w:t>
      </w:r>
      <w:r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02871">
          <w:rPr>
            <w:sz w:val="24"/>
            <w:szCs w:val="24"/>
          </w:rPr>
          <w:t>2016 г</w:t>
        </w:r>
      </w:smartTag>
      <w:r w:rsidRPr="00802871">
        <w:rPr>
          <w:sz w:val="24"/>
          <w:szCs w:val="24"/>
        </w:rPr>
        <w:t xml:space="preserve">. № </w:t>
      </w:r>
      <w:r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:rsidR="00951F73" w:rsidRPr="00802871" w:rsidRDefault="00951F73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lastRenderedPageBreak/>
        <w:t>Место нахождения эмитента и контактные телефоны:</w:t>
      </w:r>
    </w:p>
    <w:p w:rsidR="00951F73" w:rsidRPr="00C620BE" w:rsidRDefault="00951F73" w:rsidP="00A03FB4">
      <w:pPr>
        <w:jc w:val="both"/>
        <w:rPr>
          <w:b/>
          <w:i/>
          <w:sz w:val="24"/>
          <w:szCs w:val="24"/>
        </w:rPr>
      </w:pPr>
      <w:r w:rsidRPr="00C620BE">
        <w:rPr>
          <w:b/>
          <w:i/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:rsidR="00951F73" w:rsidRPr="00802871" w:rsidRDefault="00951F73" w:rsidP="00A03FB4">
      <w:pPr>
        <w:jc w:val="both"/>
        <w:rPr>
          <w:sz w:val="24"/>
          <w:szCs w:val="24"/>
        </w:rPr>
      </w:pPr>
    </w:p>
    <w:p w:rsidR="00951F73" w:rsidRPr="00802871" w:rsidRDefault="00951F73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Pr="00C620BE">
        <w:rPr>
          <w:b/>
          <w:i/>
          <w:sz w:val="24"/>
          <w:szCs w:val="24"/>
        </w:rPr>
        <w:t>+7 (495) 2210012</w:t>
      </w:r>
    </w:p>
    <w:p w:rsidR="00951F73" w:rsidRPr="001B42CA" w:rsidRDefault="00951F73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951F73" w:rsidRPr="001B42CA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1F73" w:rsidRPr="00BD1FD2" w:rsidRDefault="00951F73"/>
        </w:tc>
      </w:tr>
      <w:tr w:rsidR="00951F73" w:rsidRPr="00802871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1F73" w:rsidRPr="00C620BE" w:rsidRDefault="00951F73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C620BE" w:rsidRDefault="00951F73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:rsidR="00951F73" w:rsidRPr="00C620BE" w:rsidRDefault="00951F73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Публичного акционерного общества</w:t>
            </w:r>
          </w:p>
          <w:p w:rsidR="00951F73" w:rsidRPr="00C620BE" w:rsidRDefault="00951F73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:rsidR="00951F73" w:rsidRPr="00C620BE" w:rsidRDefault="00951F73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лизинговая компания»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802871" w:rsidRDefault="00951F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802871" w:rsidRDefault="00951F7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802871" w:rsidRDefault="00951F73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С.Н. Храмагин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1F73" w:rsidRPr="00802871" w:rsidRDefault="00951F73">
            <w:pPr>
              <w:rPr>
                <w:sz w:val="24"/>
                <w:szCs w:val="24"/>
              </w:rPr>
            </w:pPr>
          </w:p>
        </w:tc>
      </w:tr>
      <w:tr w:rsidR="00951F73" w:rsidRPr="001B42CA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1F73" w:rsidRPr="001B42CA" w:rsidRDefault="00951F73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1F73" w:rsidRPr="001B42CA" w:rsidRDefault="00951F73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F73" w:rsidRPr="001B42CA" w:rsidRDefault="00951F73"/>
        </w:tc>
      </w:tr>
      <w:tr w:rsidR="00951F73" w:rsidRPr="001B42CA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251BDD" w:rsidRDefault="00F645DC" w:rsidP="00CB4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437F"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871804" w:rsidRDefault="00951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1F73" w:rsidRPr="001B42CA" w:rsidRDefault="00951F73" w:rsidP="00C445C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1F73" w:rsidRPr="001B42CA" w:rsidRDefault="00951F73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51F73" w:rsidRPr="001B42CA" w:rsidRDefault="00951F73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951F73" w:rsidRPr="001B42CA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BD1FD2" w:rsidRDefault="00951F73"/>
        </w:tc>
      </w:tr>
    </w:tbl>
    <w:p w:rsidR="00951F73" w:rsidRPr="001B42CA" w:rsidRDefault="00951F73">
      <w:pPr>
        <w:rPr>
          <w:sz w:val="22"/>
          <w:szCs w:val="22"/>
          <w:lang w:val="en-US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:rsidR="00951F73" w:rsidRDefault="00951F73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951F73" w:rsidRDefault="00951F73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:rsidR="00951F73" w:rsidRPr="00BA3F0C" w:rsidRDefault="00951F73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:rsidR="00951F73" w:rsidRDefault="00951F73" w:rsidP="00BA3F0C">
      <w:pPr>
        <w:adjustRightInd w:val="0"/>
        <w:ind w:firstLine="539"/>
        <w:jc w:val="both"/>
        <w:rPr>
          <w:sz w:val="22"/>
          <w:szCs w:val="22"/>
        </w:rPr>
      </w:pPr>
    </w:p>
    <w:p w:rsidR="00951F73" w:rsidRDefault="00951F73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>
        <w:rPr>
          <w:b/>
          <w:bCs/>
          <w:i/>
          <w:iCs/>
          <w:sz w:val="22"/>
          <w:szCs w:val="22"/>
          <w:lang w:eastAsia="en-US"/>
        </w:rPr>
        <w:t>.</w:t>
      </w:r>
    </w:p>
    <w:p w:rsidR="00951F73" w:rsidRPr="009E575A" w:rsidRDefault="00951F73" w:rsidP="00931549">
      <w:pPr>
        <w:ind w:firstLine="539"/>
        <w:jc w:val="both"/>
        <w:rPr>
          <w:sz w:val="22"/>
          <w:szCs w:val="22"/>
        </w:rPr>
      </w:pPr>
    </w:p>
    <w:p w:rsidR="00951F73" w:rsidRPr="00F645DC" w:rsidRDefault="00951F73" w:rsidP="00931549">
      <w:pPr>
        <w:ind w:firstLine="539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Серия: </w:t>
      </w:r>
      <w:r w:rsidRPr="00F645DC">
        <w:rPr>
          <w:b/>
          <w:bCs/>
          <w:i/>
          <w:iCs/>
          <w:color w:val="000000" w:themeColor="text1"/>
          <w:sz w:val="22"/>
          <w:szCs w:val="22"/>
        </w:rPr>
        <w:t>001Р-04</w:t>
      </w: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- программа биржевых облигаций</w:t>
      </w:r>
      <w:r>
        <w:rPr>
          <w:b/>
          <w:bCs/>
          <w:i/>
          <w:iCs/>
          <w:sz w:val="22"/>
          <w:szCs w:val="22"/>
        </w:rPr>
        <w:t xml:space="preserve"> серии 001</w:t>
      </w:r>
      <w:r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.2016, в рамках которой размещается настоящий выпуск Биржевых облигаций.</w:t>
      </w:r>
    </w:p>
    <w:p w:rsidR="00951F73" w:rsidRPr="009E575A" w:rsidRDefault="00951F73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Условия выпуска – </w:t>
      </w:r>
      <w:r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Pr="00E77C3C">
        <w:t xml:space="preserve"> </w:t>
      </w:r>
      <w:r w:rsidRPr="00E77C3C">
        <w:rPr>
          <w:b/>
          <w:i/>
        </w:rPr>
        <w:t>(У</w:t>
      </w:r>
      <w:r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>
        <w:rPr>
          <w:b/>
          <w:bCs/>
          <w:i/>
          <w:iCs/>
          <w:sz w:val="22"/>
          <w:szCs w:val="22"/>
        </w:rPr>
        <w:t xml:space="preserve"> в</w:t>
      </w:r>
      <w:r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 выпуска Биржевых облигаций, размещаемого в рамках Программы.</w:t>
      </w: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951F73" w:rsidRPr="009E575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>
        <w:rPr>
          <w:b/>
          <w:bCs/>
          <w:i/>
          <w:iCs/>
          <w:sz w:val="22"/>
          <w:szCs w:val="22"/>
          <w:lang w:eastAsia="en-US"/>
        </w:rPr>
        <w:t>Публичное акционерное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77C3C">
        <w:rPr>
          <w:b/>
          <w:bCs/>
          <w:i/>
          <w:iCs/>
          <w:sz w:val="22"/>
          <w:szCs w:val="22"/>
          <w:lang w:eastAsia="en-US"/>
        </w:rPr>
        <w:t>общество «Государственная транспортная лизинговая компания»,  ПАО «ГТЛК».</w:t>
      </w:r>
    </w:p>
    <w:p w:rsidR="00951F73" w:rsidRPr="009E575A" w:rsidRDefault="00951F73" w:rsidP="00931549">
      <w:pPr>
        <w:adjustRightInd w:val="0"/>
        <w:ind w:firstLine="539"/>
        <w:jc w:val="both"/>
      </w:pPr>
    </w:p>
    <w:p w:rsidR="00951F73" w:rsidRPr="009E575A" w:rsidRDefault="00951F73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:rsidR="00951F73" w:rsidRPr="009E575A" w:rsidRDefault="00951F73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:rsidR="00951F73" w:rsidRPr="009E575A" w:rsidRDefault="00951F73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951F73" w:rsidRPr="009E575A" w:rsidRDefault="00951F73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 xml:space="preserve">Сведения, подлежащие указанию в настоящем пункте, указаны в пункте 3 Программы биржевых облигаций. 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4. Номинальная стоимость каждой облигации выпуска (дополнительного выпуска)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>1 000 (Одна тысяча) российских рублей.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5. Количество облигаций выпуска (дополнительного выпуска)</w:t>
      </w:r>
    </w:p>
    <w:p w:rsidR="00951F73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>Количество размещаемых ценных бумаг выпуска</w:t>
      </w:r>
      <w:r>
        <w:rPr>
          <w:sz w:val="22"/>
          <w:szCs w:val="22"/>
        </w:rPr>
        <w:t xml:space="preserve">: </w:t>
      </w:r>
      <w:r w:rsidRPr="007C0AD1">
        <w:rPr>
          <w:b/>
          <w:bCs/>
          <w:i/>
          <w:iCs/>
          <w:sz w:val="22"/>
          <w:szCs w:val="22"/>
        </w:rPr>
        <w:t>10 000 000 (Десять миллионов)</w:t>
      </w:r>
      <w:r>
        <w:rPr>
          <w:b/>
          <w:bCs/>
          <w:i/>
          <w:sz w:val="22"/>
          <w:szCs w:val="22"/>
        </w:rPr>
        <w:t xml:space="preserve"> </w:t>
      </w:r>
      <w:r w:rsidRPr="007C0AD1">
        <w:rPr>
          <w:b/>
          <w:i/>
          <w:sz w:val="22"/>
          <w:szCs w:val="22"/>
        </w:rPr>
        <w:t>штук</w:t>
      </w:r>
    </w:p>
    <w:p w:rsidR="00951F73" w:rsidRPr="009E575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E575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6. Общее количество облигаций данного выпуска, размещенных ранее</w:t>
      </w:r>
    </w:p>
    <w:p w:rsidR="00951F73" w:rsidRPr="001B42CA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 указаны в пункте 7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>
        <w:rPr>
          <w:sz w:val="22"/>
          <w:szCs w:val="22"/>
        </w:rPr>
        <w:t>облигаций</w:t>
      </w:r>
    </w:p>
    <w:p w:rsidR="00951F73" w:rsidRPr="00871804" w:rsidRDefault="00951F73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облигаций:</w:t>
      </w:r>
    </w:p>
    <w:p w:rsidR="00951F73" w:rsidRPr="00D875F2" w:rsidRDefault="00951F73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>
        <w:rPr>
          <w:b/>
          <w:i/>
          <w:sz w:val="22"/>
          <w:szCs w:val="22"/>
        </w:rPr>
        <w:t xml:space="preserve"> не позднее, </w:t>
      </w:r>
      <w:r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951F73" w:rsidRPr="00D875F2" w:rsidRDefault="00951F73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размещения Биржевых облигаций устанавливается Эмитентом в соответствии с действующим </w:t>
      </w:r>
      <w:r w:rsidRPr="00D875F2">
        <w:rPr>
          <w:b/>
          <w:i/>
          <w:sz w:val="22"/>
          <w:szCs w:val="22"/>
          <w:lang w:eastAsia="en-US"/>
        </w:rPr>
        <w:lastRenderedPageBreak/>
        <w:t>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951F73" w:rsidRPr="00871804" w:rsidRDefault="00951F73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:rsidR="00951F73" w:rsidRPr="00871804" w:rsidRDefault="00951F73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а) 2-й (Второй) рабочий день с даты</w:t>
      </w:r>
      <w:r w:rsidRPr="001B42CA">
        <w:rPr>
          <w:b/>
          <w:i/>
          <w:sz w:val="22"/>
          <w:szCs w:val="22"/>
        </w:rPr>
        <w:t xml:space="preserve"> начала размещения Биржевых облигаций;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951F73" w:rsidRPr="001B42CA" w:rsidRDefault="00951F73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>
        <w:rPr>
          <w:sz w:val="22"/>
          <w:szCs w:val="22"/>
        </w:rPr>
        <w:t>облигаций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 пункта 8.4 Программы (далее – Цена размещения).</w:t>
      </w:r>
    </w:p>
    <w:p w:rsidR="00951F73" w:rsidRPr="001B42C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:rsidR="00951F73" w:rsidRPr="001B42CA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 пункте 8.3. Программы биржевых облигаций.</w:t>
      </w:r>
    </w:p>
    <w:p w:rsidR="00951F73" w:rsidRPr="00D7014E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D2C4E">
        <w:rPr>
          <w:b/>
          <w:i/>
          <w:sz w:val="22"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8D2C4E">
        <w:rPr>
          <w:b/>
          <w:bCs/>
          <w:i/>
          <w:iCs/>
          <w:sz w:val="22"/>
          <w:szCs w:val="22"/>
        </w:rPr>
        <w:t>(далее</w:t>
      </w:r>
      <w:r>
        <w:rPr>
          <w:b/>
          <w:bCs/>
          <w:i/>
          <w:iCs/>
          <w:sz w:val="22"/>
          <w:szCs w:val="22"/>
        </w:rPr>
        <w:t xml:space="preserve"> </w:t>
      </w:r>
      <w:r w:rsidRPr="008D2C4E">
        <w:rPr>
          <w:b/>
          <w:bCs/>
          <w:i/>
          <w:iCs/>
          <w:sz w:val="22"/>
          <w:szCs w:val="22"/>
        </w:rPr>
        <w:t>– Организаторы):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</w:t>
      </w:r>
      <w:r w:rsidRPr="00A5192B">
        <w:rPr>
          <w:sz w:val="22"/>
          <w:szCs w:val="22"/>
        </w:rPr>
        <w:t xml:space="preserve">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ИНН: </w:t>
      </w:r>
      <w:r w:rsidRPr="00A5192B">
        <w:rPr>
          <w:b/>
          <w:i/>
          <w:sz w:val="22"/>
          <w:szCs w:val="22"/>
        </w:rPr>
        <w:t>7744001497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1027700167110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Место нахождения: </w:t>
      </w:r>
      <w:r w:rsidRPr="00A5192B">
        <w:rPr>
          <w:b/>
          <w:i/>
          <w:sz w:val="22"/>
          <w:szCs w:val="22"/>
        </w:rPr>
        <w:t>г. Москва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A5192B">
          <w:rPr>
            <w:b/>
            <w:i/>
            <w:sz w:val="22"/>
            <w:szCs w:val="22"/>
          </w:rPr>
          <w:t>117420, г</w:t>
        </w:r>
      </w:smartTag>
      <w:r w:rsidRPr="00A5192B">
        <w:rPr>
          <w:b/>
          <w:i/>
          <w:sz w:val="22"/>
          <w:szCs w:val="22"/>
        </w:rPr>
        <w:t>. Москва, ул. Наметкина, дом 16, корпус 1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Номер лицензии: </w:t>
      </w:r>
      <w:r w:rsidRPr="00A5192B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 xml:space="preserve">Дата выдачи: </w:t>
      </w:r>
      <w:r w:rsidRPr="00A5192B">
        <w:rPr>
          <w:b/>
          <w:i/>
          <w:sz w:val="22"/>
          <w:szCs w:val="22"/>
        </w:rPr>
        <w:t>27.12.2000</w:t>
      </w:r>
    </w:p>
    <w:p w:rsidR="00951F73" w:rsidRPr="00F645DC" w:rsidRDefault="00951F73" w:rsidP="008D2C4E">
      <w:pPr>
        <w:autoSpaceDE/>
        <w:autoSpaceDN/>
        <w:adjustRightInd w:val="0"/>
        <w:ind w:firstLine="539"/>
        <w:jc w:val="both"/>
        <w:rPr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Срок действия: </w:t>
      </w:r>
      <w:r w:rsidRPr="00F645DC">
        <w:rPr>
          <w:b/>
          <w:i/>
          <w:color w:val="000000" w:themeColor="text1"/>
          <w:sz w:val="22"/>
          <w:szCs w:val="22"/>
        </w:rPr>
        <w:t>без ограничения срока действия</w:t>
      </w:r>
    </w:p>
    <w:p w:rsidR="00951F73" w:rsidRPr="00F645DC" w:rsidRDefault="00951F73" w:rsidP="008D2C4E">
      <w:pPr>
        <w:autoSpaceDE/>
        <w:autoSpaceDN/>
        <w:adjustRightInd w:val="0"/>
        <w:ind w:firstLine="539"/>
        <w:jc w:val="both"/>
        <w:rPr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Орган, выдавший указанную лицензию: </w:t>
      </w:r>
      <w:r w:rsidRPr="00F645DC">
        <w:rPr>
          <w:b/>
          <w:i/>
          <w:color w:val="000000" w:themeColor="text1"/>
          <w:sz w:val="22"/>
          <w:szCs w:val="22"/>
        </w:rPr>
        <w:t>ФКЦБ России</w:t>
      </w:r>
    </w:p>
    <w:p w:rsidR="00951F73" w:rsidRPr="00F645DC" w:rsidRDefault="00951F73" w:rsidP="008D2C4E">
      <w:pPr>
        <w:autoSpaceDE/>
        <w:autoSpaceDN/>
        <w:adjustRightInd w:val="0"/>
        <w:ind w:firstLine="539"/>
        <w:jc w:val="both"/>
        <w:rPr>
          <w:color w:val="000000" w:themeColor="text1"/>
          <w:sz w:val="22"/>
          <w:szCs w:val="22"/>
        </w:rPr>
      </w:pPr>
    </w:p>
    <w:p w:rsidR="00951F73" w:rsidRPr="00F645DC" w:rsidRDefault="00951F73" w:rsidP="007759A8">
      <w:pPr>
        <w:adjustRightInd w:val="0"/>
        <w:ind w:left="540" w:firstLine="27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Полное фирменное наименование: </w:t>
      </w:r>
      <w:r w:rsidRPr="00F645DC">
        <w:rPr>
          <w:b/>
          <w:i/>
          <w:color w:val="000000" w:themeColor="text1"/>
          <w:sz w:val="22"/>
          <w:szCs w:val="22"/>
        </w:rPr>
        <w:t>Акционерное общество ВТБ Капитал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Сокращенное фирменное наименование: </w:t>
      </w:r>
      <w:r w:rsidRPr="00F645DC">
        <w:rPr>
          <w:b/>
          <w:i/>
          <w:color w:val="000000" w:themeColor="text1"/>
          <w:sz w:val="22"/>
          <w:szCs w:val="22"/>
        </w:rPr>
        <w:t>АО ВТБ Капитал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ИНН: </w:t>
      </w:r>
      <w:r w:rsidRPr="00F645DC">
        <w:rPr>
          <w:b/>
          <w:i/>
          <w:color w:val="000000" w:themeColor="text1"/>
          <w:sz w:val="22"/>
          <w:szCs w:val="22"/>
        </w:rPr>
        <w:t>7703585780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color w:val="000000" w:themeColor="text1"/>
          <w:sz w:val="22"/>
          <w:szCs w:val="22"/>
        </w:rPr>
      </w:pPr>
      <w:r w:rsidRPr="00F645DC">
        <w:rPr>
          <w:bCs/>
          <w:color w:val="000000" w:themeColor="text1"/>
          <w:sz w:val="22"/>
          <w:szCs w:val="22"/>
        </w:rPr>
        <w:t xml:space="preserve">ОГРН: </w:t>
      </w:r>
      <w:r w:rsidRPr="00F645DC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2"/>
          <w:szCs w:val="22"/>
          <w:lang w:eastAsia="ja-JP"/>
        </w:rPr>
        <w:t>1</w:t>
      </w:r>
      <w:r w:rsidRPr="00F645DC">
        <w:rPr>
          <w:b/>
          <w:i/>
          <w:color w:val="000000" w:themeColor="text1"/>
          <w:sz w:val="22"/>
          <w:szCs w:val="22"/>
        </w:rPr>
        <w:t>067746393780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b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Место нахождения: </w:t>
      </w:r>
      <w:r w:rsidRPr="00F645DC">
        <w:rPr>
          <w:b/>
          <w:i/>
          <w:color w:val="000000" w:themeColor="text1"/>
          <w:sz w:val="22"/>
          <w:szCs w:val="22"/>
        </w:rPr>
        <w:t>г. Москва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Почтовый адрес: </w:t>
      </w:r>
      <w:r w:rsidRPr="00F645DC">
        <w:rPr>
          <w:b/>
          <w:i/>
          <w:color w:val="000000" w:themeColor="text1"/>
          <w:sz w:val="22"/>
          <w:szCs w:val="22"/>
        </w:rPr>
        <w:t>123100, г. Москва, Пресненская набережная, д. 12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Номер лицензии: </w:t>
      </w:r>
      <w:r w:rsidRPr="00F645DC">
        <w:rPr>
          <w:b/>
          <w:i/>
          <w:color w:val="000000" w:themeColor="text1"/>
          <w:sz w:val="22"/>
          <w:szCs w:val="22"/>
        </w:rPr>
        <w:t>Лицензия на осуществление брокерской деятельности № 045-11463-100000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Дата выдачи: </w:t>
      </w:r>
      <w:r w:rsidRPr="00F645DC">
        <w:rPr>
          <w:b/>
          <w:i/>
          <w:color w:val="000000" w:themeColor="text1"/>
          <w:sz w:val="22"/>
          <w:szCs w:val="22"/>
        </w:rPr>
        <w:t>31.07.2008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Срок действия: </w:t>
      </w:r>
      <w:r w:rsidRPr="00F645DC">
        <w:rPr>
          <w:b/>
          <w:i/>
          <w:color w:val="000000" w:themeColor="text1"/>
          <w:sz w:val="22"/>
          <w:szCs w:val="22"/>
        </w:rPr>
        <w:t>без ограничения срока действия</w:t>
      </w:r>
    </w:p>
    <w:p w:rsidR="00951F73" w:rsidRPr="00F645DC" w:rsidRDefault="00951F73" w:rsidP="007759A8">
      <w:pPr>
        <w:adjustRightInd w:val="0"/>
        <w:ind w:left="540" w:firstLine="27"/>
        <w:jc w:val="both"/>
        <w:rPr>
          <w:b/>
          <w:i/>
          <w:color w:val="000000" w:themeColor="text1"/>
          <w:sz w:val="22"/>
          <w:szCs w:val="22"/>
        </w:rPr>
      </w:pPr>
      <w:r w:rsidRPr="00F645DC">
        <w:rPr>
          <w:color w:val="000000" w:themeColor="text1"/>
          <w:sz w:val="22"/>
          <w:szCs w:val="22"/>
        </w:rPr>
        <w:t xml:space="preserve">Орган, выдавший указанную лицензию: </w:t>
      </w:r>
      <w:r w:rsidRPr="00F645DC">
        <w:rPr>
          <w:b/>
          <w:i/>
          <w:color w:val="000000" w:themeColor="text1"/>
          <w:sz w:val="22"/>
          <w:szCs w:val="22"/>
        </w:rPr>
        <w:t>ФСФР России</w:t>
      </w:r>
    </w:p>
    <w:p w:rsidR="00951F73" w:rsidRPr="00F645DC" w:rsidRDefault="00951F73" w:rsidP="008D2C4E">
      <w:pPr>
        <w:autoSpaceDE/>
        <w:autoSpaceDN/>
        <w:adjustRightInd w:val="0"/>
        <w:ind w:firstLine="539"/>
        <w:jc w:val="both"/>
        <w:rPr>
          <w:i/>
          <w:color w:val="000000" w:themeColor="text1"/>
          <w:sz w:val="22"/>
          <w:szCs w:val="22"/>
        </w:rPr>
      </w:pPr>
    </w:p>
    <w:p w:rsidR="00951F73" w:rsidRPr="00F645DC" w:rsidRDefault="00951F73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color w:val="000000" w:themeColor="text1"/>
          <w:sz w:val="22"/>
          <w:szCs w:val="22"/>
          <w:lang w:eastAsia="en-US"/>
        </w:rPr>
      </w:pPr>
      <w:r w:rsidRPr="00F645DC">
        <w:rPr>
          <w:b/>
          <w:bCs/>
          <w:i/>
          <w:color w:val="000000" w:themeColor="text1"/>
          <w:spacing w:val="-2"/>
          <w:sz w:val="22"/>
          <w:szCs w:val="22"/>
          <w:lang w:eastAsia="en-US"/>
        </w:rPr>
        <w:t>О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сновные</w:t>
      </w:r>
      <w:r w:rsidRPr="00F645DC">
        <w:rPr>
          <w:b/>
          <w:bCs/>
          <w:i/>
          <w:color w:val="000000" w:themeColor="text1"/>
          <w:spacing w:val="55"/>
          <w:sz w:val="22"/>
          <w:szCs w:val="22"/>
          <w:lang w:eastAsia="en-US"/>
        </w:rPr>
        <w:t xml:space="preserve"> 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ф</w:t>
      </w:r>
      <w:r w:rsidRPr="00F645DC">
        <w:rPr>
          <w:b/>
          <w:bCs/>
          <w:i/>
          <w:color w:val="000000" w:themeColor="text1"/>
          <w:spacing w:val="-2"/>
          <w:sz w:val="22"/>
          <w:szCs w:val="22"/>
          <w:lang w:eastAsia="en-US"/>
        </w:rPr>
        <w:t>у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нкц</w:t>
      </w:r>
      <w:r w:rsidRPr="00F645DC">
        <w:rPr>
          <w:b/>
          <w:bCs/>
          <w:i/>
          <w:color w:val="000000" w:themeColor="text1"/>
          <w:spacing w:val="-1"/>
          <w:sz w:val="22"/>
          <w:szCs w:val="22"/>
          <w:lang w:eastAsia="en-US"/>
        </w:rPr>
        <w:t>и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и</w:t>
      </w:r>
      <w:r w:rsidRPr="00F645DC">
        <w:rPr>
          <w:b/>
          <w:bCs/>
          <w:i/>
          <w:color w:val="000000" w:themeColor="text1"/>
          <w:spacing w:val="54"/>
          <w:sz w:val="22"/>
          <w:szCs w:val="22"/>
          <w:lang w:eastAsia="en-US"/>
        </w:rPr>
        <w:t xml:space="preserve"> 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Организатора, пр</w:t>
      </w:r>
      <w:r w:rsidRPr="00F645DC">
        <w:rPr>
          <w:b/>
          <w:bCs/>
          <w:i/>
          <w:color w:val="000000" w:themeColor="text1"/>
          <w:spacing w:val="-1"/>
          <w:sz w:val="22"/>
          <w:szCs w:val="22"/>
          <w:lang w:eastAsia="en-US"/>
        </w:rPr>
        <w:t>и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в</w:t>
      </w:r>
      <w:r w:rsidRPr="00F645DC">
        <w:rPr>
          <w:b/>
          <w:bCs/>
          <w:i/>
          <w:color w:val="000000" w:themeColor="text1"/>
          <w:spacing w:val="-3"/>
          <w:sz w:val="22"/>
          <w:szCs w:val="22"/>
          <w:lang w:eastAsia="en-US"/>
        </w:rPr>
        <w:t>е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де</w:t>
      </w:r>
      <w:r w:rsidRPr="00F645DC">
        <w:rPr>
          <w:b/>
          <w:bCs/>
          <w:i/>
          <w:color w:val="000000" w:themeColor="text1"/>
          <w:spacing w:val="-3"/>
          <w:sz w:val="22"/>
          <w:szCs w:val="22"/>
          <w:lang w:eastAsia="en-US"/>
        </w:rPr>
        <w:t>н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ы в</w:t>
      </w:r>
      <w:r w:rsidRPr="00F645DC">
        <w:rPr>
          <w:b/>
          <w:bCs/>
          <w:i/>
          <w:color w:val="000000" w:themeColor="text1"/>
          <w:spacing w:val="-3"/>
          <w:sz w:val="22"/>
          <w:szCs w:val="22"/>
          <w:lang w:eastAsia="en-US"/>
        </w:rPr>
        <w:t xml:space="preserve"> 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п. 8.3</w:t>
      </w:r>
      <w:r w:rsidRPr="00F645DC">
        <w:rPr>
          <w:b/>
          <w:bCs/>
          <w:i/>
          <w:color w:val="000000" w:themeColor="text1"/>
          <w:spacing w:val="-2"/>
          <w:sz w:val="22"/>
          <w:szCs w:val="22"/>
          <w:lang w:eastAsia="en-US"/>
        </w:rPr>
        <w:t xml:space="preserve"> 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П</w:t>
      </w:r>
      <w:r w:rsidRPr="00F645DC">
        <w:rPr>
          <w:b/>
          <w:bCs/>
          <w:i/>
          <w:color w:val="000000" w:themeColor="text1"/>
          <w:spacing w:val="-3"/>
          <w:sz w:val="22"/>
          <w:szCs w:val="22"/>
          <w:lang w:eastAsia="en-US"/>
        </w:rPr>
        <w:t>р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ограм</w:t>
      </w:r>
      <w:r w:rsidRPr="00F645DC">
        <w:rPr>
          <w:b/>
          <w:bCs/>
          <w:i/>
          <w:color w:val="000000" w:themeColor="text1"/>
          <w:spacing w:val="-3"/>
          <w:sz w:val="22"/>
          <w:szCs w:val="22"/>
          <w:lang w:eastAsia="en-US"/>
        </w:rPr>
        <w:t>м</w:t>
      </w:r>
      <w:r w:rsidRPr="00F645DC">
        <w:rPr>
          <w:b/>
          <w:bCs/>
          <w:i/>
          <w:color w:val="000000" w:themeColor="text1"/>
          <w:sz w:val="22"/>
          <w:szCs w:val="22"/>
          <w:lang w:eastAsia="en-US"/>
        </w:rPr>
        <w:t>ы.</w:t>
      </w:r>
    </w:p>
    <w:p w:rsidR="00951F73" w:rsidRPr="00A5192B" w:rsidRDefault="00951F73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A5192B" w:rsidRDefault="00951F73" w:rsidP="008D2C4E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- Андеррайтер):</w:t>
      </w:r>
    </w:p>
    <w:p w:rsidR="00951F73" w:rsidRPr="00A5192B" w:rsidRDefault="00951F73" w:rsidP="008D2C4E">
      <w:pPr>
        <w:ind w:firstLine="539"/>
        <w:jc w:val="both"/>
        <w:rPr>
          <w:b/>
          <w:i/>
          <w:sz w:val="22"/>
          <w:szCs w:val="22"/>
          <w:u w:val="single"/>
        </w:rPr>
      </w:pP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A5192B">
        <w:rPr>
          <w:sz w:val="22"/>
          <w:szCs w:val="22"/>
        </w:rPr>
        <w:t xml:space="preserve">Полное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i/>
          <w:sz w:val="22"/>
          <w:szCs w:val="22"/>
        </w:rPr>
      </w:pPr>
      <w:r w:rsidRPr="00A5192B">
        <w:rPr>
          <w:sz w:val="22"/>
          <w:szCs w:val="22"/>
        </w:rPr>
        <w:t xml:space="preserve">Сокращенное фирменное наименование: </w:t>
      </w:r>
      <w:r w:rsidRPr="00A5192B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lastRenderedPageBreak/>
        <w:t xml:space="preserve">ИНН: </w:t>
      </w:r>
      <w:r w:rsidRPr="00A5192B">
        <w:rPr>
          <w:b/>
          <w:i/>
          <w:sz w:val="22"/>
          <w:szCs w:val="22"/>
        </w:rPr>
        <w:t>7744001497</w:t>
      </w:r>
    </w:p>
    <w:p w:rsidR="00951F73" w:rsidRPr="00A5192B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A5192B">
        <w:rPr>
          <w:bCs/>
          <w:sz w:val="22"/>
          <w:szCs w:val="22"/>
        </w:rPr>
        <w:t xml:space="preserve">ОГРН: </w:t>
      </w:r>
      <w:r w:rsidRPr="00A5192B">
        <w:rPr>
          <w:b/>
          <w:bCs/>
          <w:i/>
          <w:sz w:val="22"/>
          <w:szCs w:val="22"/>
        </w:rPr>
        <w:t>1027700167110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Место нахождения: </w:t>
      </w:r>
      <w:r w:rsidRPr="008D2C4E">
        <w:rPr>
          <w:b/>
          <w:i/>
          <w:sz w:val="22"/>
          <w:szCs w:val="22"/>
        </w:rPr>
        <w:t>г. Москва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Почтовый адрес: </w:t>
      </w:r>
      <w:r w:rsidRPr="008D2C4E">
        <w:rPr>
          <w:b/>
          <w:i/>
          <w:sz w:val="22"/>
          <w:szCs w:val="22"/>
        </w:rPr>
        <w:t>117420, г. Москва, ул. Наметкина, дом 16, корпус 1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Номер лицензии: </w:t>
      </w:r>
      <w:r w:rsidRPr="008D2C4E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Дата выдачи: </w:t>
      </w:r>
      <w:r w:rsidRPr="008D2C4E">
        <w:rPr>
          <w:b/>
          <w:i/>
          <w:sz w:val="22"/>
          <w:szCs w:val="22"/>
        </w:rPr>
        <w:t>27.12.2000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Срок действия: </w:t>
      </w:r>
      <w:r w:rsidRPr="008D2C4E">
        <w:rPr>
          <w:b/>
          <w:i/>
          <w:sz w:val="22"/>
          <w:szCs w:val="22"/>
        </w:rPr>
        <w:t>без ограничения срока действия</w:t>
      </w:r>
    </w:p>
    <w:p w:rsidR="00951F73" w:rsidRPr="008D2C4E" w:rsidRDefault="00951F73" w:rsidP="008D2C4E">
      <w:pPr>
        <w:autoSpaceDE/>
        <w:autoSpaceDN/>
        <w:adjustRightInd w:val="0"/>
        <w:ind w:firstLine="539"/>
        <w:jc w:val="both"/>
        <w:rPr>
          <w:sz w:val="22"/>
          <w:szCs w:val="22"/>
        </w:rPr>
      </w:pPr>
      <w:r w:rsidRPr="008D2C4E">
        <w:rPr>
          <w:sz w:val="22"/>
          <w:szCs w:val="22"/>
        </w:rPr>
        <w:t xml:space="preserve">Орган, выдавший указанную лицензию: </w:t>
      </w:r>
      <w:r w:rsidRPr="008D2C4E">
        <w:rPr>
          <w:b/>
          <w:i/>
          <w:sz w:val="22"/>
          <w:szCs w:val="22"/>
        </w:rPr>
        <w:t>ФКЦБ России</w:t>
      </w:r>
    </w:p>
    <w:p w:rsidR="00951F73" w:rsidRPr="008D2C4E" w:rsidRDefault="00951F73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951F73" w:rsidRPr="008D2C4E" w:rsidRDefault="00951F73" w:rsidP="008D2C4E">
      <w:pPr>
        <w:widowControl w:val="0"/>
        <w:autoSpaceDE/>
        <w:autoSpaceDN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8D2C4E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D2C4E">
        <w:rPr>
          <w:b/>
          <w:bCs/>
          <w:i/>
          <w:sz w:val="22"/>
          <w:szCs w:val="22"/>
          <w:lang w:eastAsia="en-US"/>
        </w:rPr>
        <w:t>сновные</w:t>
      </w:r>
      <w:r w:rsidRPr="008D2C4E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ф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D2C4E">
        <w:rPr>
          <w:b/>
          <w:bCs/>
          <w:i/>
          <w:sz w:val="22"/>
          <w:szCs w:val="22"/>
          <w:lang w:eastAsia="en-US"/>
        </w:rPr>
        <w:t>нкц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и</w:t>
      </w:r>
      <w:r w:rsidRPr="008D2C4E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Андеррайтера, пр</w:t>
      </w:r>
      <w:r w:rsidRPr="008D2C4E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D2C4E">
        <w:rPr>
          <w:b/>
          <w:bCs/>
          <w:i/>
          <w:sz w:val="22"/>
          <w:szCs w:val="22"/>
          <w:lang w:eastAsia="en-US"/>
        </w:rPr>
        <w:t>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D2C4E">
        <w:rPr>
          <w:b/>
          <w:bCs/>
          <w:i/>
          <w:sz w:val="22"/>
          <w:szCs w:val="22"/>
          <w:lang w:eastAsia="en-US"/>
        </w:rPr>
        <w:t>де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D2C4E">
        <w:rPr>
          <w:b/>
          <w:bCs/>
          <w:i/>
          <w:sz w:val="22"/>
          <w:szCs w:val="22"/>
          <w:lang w:eastAsia="en-US"/>
        </w:rPr>
        <w:t>ы в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п. 8.3</w:t>
      </w:r>
      <w:r w:rsidRPr="008D2C4E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D2C4E">
        <w:rPr>
          <w:b/>
          <w:bCs/>
          <w:i/>
          <w:sz w:val="22"/>
          <w:szCs w:val="22"/>
          <w:lang w:eastAsia="en-US"/>
        </w:rPr>
        <w:t>П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D2C4E">
        <w:rPr>
          <w:b/>
          <w:bCs/>
          <w:i/>
          <w:sz w:val="22"/>
          <w:szCs w:val="22"/>
          <w:lang w:eastAsia="en-US"/>
        </w:rPr>
        <w:t>ограм</w:t>
      </w:r>
      <w:r w:rsidRPr="008D2C4E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D2C4E">
        <w:rPr>
          <w:b/>
          <w:bCs/>
          <w:i/>
          <w:sz w:val="22"/>
          <w:szCs w:val="22"/>
          <w:lang w:eastAsia="en-US"/>
        </w:rPr>
        <w:t>ы.</w:t>
      </w:r>
    </w:p>
    <w:p w:rsidR="00951F73" w:rsidRDefault="00951F73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:rsidR="00951F73" w:rsidRPr="00B35D6F" w:rsidRDefault="00951F73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:rsidR="00951F73" w:rsidRPr="00B35D6F" w:rsidRDefault="00951F73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:rsidR="00951F73" w:rsidRPr="00B35D6F" w:rsidRDefault="00951F73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>у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B35D6F">
        <w:rPr>
          <w:b/>
          <w:bCs/>
          <w:i/>
          <w:iCs/>
          <w:sz w:val="22"/>
          <w:szCs w:val="22"/>
        </w:rPr>
        <w:t xml:space="preserve"> Эмитенту услуги по размещению и организации размещения</w:t>
      </w:r>
      <w:r>
        <w:rPr>
          <w:b/>
          <w:bCs/>
          <w:i/>
          <w:iCs/>
          <w:sz w:val="22"/>
          <w:szCs w:val="22"/>
        </w:rPr>
        <w:t xml:space="preserve"> 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:rsidR="00951F73" w:rsidRDefault="00951F73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F610ED">
        <w:rPr>
          <w:b/>
          <w:bCs/>
          <w:i/>
          <w:iCs/>
          <w:sz w:val="22"/>
          <w:szCs w:val="22"/>
        </w:rPr>
        <w:t>размер вознаграждения лиц, оказывающ</w:t>
      </w:r>
      <w:r>
        <w:rPr>
          <w:b/>
          <w:bCs/>
          <w:i/>
          <w:iCs/>
          <w:sz w:val="22"/>
          <w:szCs w:val="22"/>
        </w:rPr>
        <w:t>их</w:t>
      </w:r>
      <w:r w:rsidRPr="00F610ED">
        <w:rPr>
          <w:b/>
          <w:bCs/>
          <w:i/>
          <w:iCs/>
          <w:sz w:val="22"/>
          <w:szCs w:val="22"/>
        </w:rPr>
        <w:t xml:space="preserve"> услуги по размещению и организации размещения ценных бумаг, не превысит 1% (Одного процента) от номинальной стоимости выпуска Биржевых облигаций.</w:t>
      </w:r>
    </w:p>
    <w:p w:rsidR="00951F73" w:rsidRPr="00B35D6F" w:rsidRDefault="00951F73" w:rsidP="00F610ED">
      <w:pPr>
        <w:adjustRightInd w:val="0"/>
        <w:spacing w:after="120"/>
        <w:ind w:firstLine="54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маркет-мейкера, не установлена, вознаграждение за подобные услуги не выплачивается.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>
        <w:rPr>
          <w:sz w:val="22"/>
          <w:szCs w:val="22"/>
        </w:rPr>
        <w:t>биржевых облигаций</w:t>
      </w:r>
    </w:p>
    <w:p w:rsidR="00951F73" w:rsidRPr="0049586C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:rsidR="00951F73" w:rsidRPr="0049586C" w:rsidRDefault="00951F73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49586C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>
        <w:rPr>
          <w:sz w:val="22"/>
          <w:szCs w:val="22"/>
        </w:rPr>
        <w:t>биржевых облигаций</w:t>
      </w:r>
    </w:p>
    <w:p w:rsidR="00951F73" w:rsidRDefault="00951F73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951F73" w:rsidRDefault="00951F73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lastRenderedPageBreak/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:rsidR="00951F73" w:rsidRPr="00312EAF" w:rsidRDefault="00951F73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:rsidR="00951F73" w:rsidRPr="008D2C4E" w:rsidRDefault="00951F73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z w:val="22"/>
          <w:szCs w:val="22"/>
          <w:lang w:eastAsia="en-US"/>
        </w:rPr>
        <w:t>Рек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з</w:t>
      </w:r>
      <w:r w:rsidRPr="008D2C4E">
        <w:rPr>
          <w:sz w:val="22"/>
          <w:szCs w:val="22"/>
          <w:lang w:eastAsia="en-US"/>
        </w:rPr>
        <w:t>и</w:t>
      </w:r>
      <w:r w:rsidRPr="008D2C4E">
        <w:rPr>
          <w:spacing w:val="-2"/>
          <w:sz w:val="22"/>
          <w:szCs w:val="22"/>
          <w:lang w:eastAsia="en-US"/>
        </w:rPr>
        <w:t>т</w:t>
      </w:r>
      <w:r w:rsidRPr="008D2C4E">
        <w:rPr>
          <w:sz w:val="22"/>
          <w:szCs w:val="22"/>
          <w:lang w:eastAsia="en-US"/>
        </w:rPr>
        <w:t>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счета</w:t>
      </w:r>
      <w:r>
        <w:rPr>
          <w:sz w:val="22"/>
          <w:szCs w:val="22"/>
          <w:lang w:eastAsia="en-US"/>
        </w:rPr>
        <w:t xml:space="preserve"> Андеррайтера</w:t>
      </w:r>
      <w:r w:rsidRPr="008D2C4E">
        <w:rPr>
          <w:sz w:val="22"/>
          <w:szCs w:val="22"/>
          <w:lang w:eastAsia="en-US"/>
        </w:rPr>
        <w:t>,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на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pacing w:val="-2"/>
          <w:sz w:val="22"/>
          <w:szCs w:val="22"/>
          <w:lang w:eastAsia="en-US"/>
        </w:rPr>
        <w:t>к</w:t>
      </w:r>
      <w:r w:rsidRPr="008D2C4E">
        <w:rPr>
          <w:sz w:val="22"/>
          <w:szCs w:val="22"/>
          <w:lang w:eastAsia="en-US"/>
        </w:rPr>
        <w:t>от</w:t>
      </w:r>
      <w:r w:rsidRPr="008D2C4E">
        <w:rPr>
          <w:spacing w:val="-3"/>
          <w:sz w:val="22"/>
          <w:szCs w:val="22"/>
          <w:lang w:eastAsia="en-US"/>
        </w:rPr>
        <w:t>о</w:t>
      </w:r>
      <w:r w:rsidRPr="008D2C4E">
        <w:rPr>
          <w:sz w:val="22"/>
          <w:szCs w:val="22"/>
          <w:lang w:eastAsia="en-US"/>
        </w:rPr>
        <w:t>рый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до</w:t>
      </w:r>
      <w:r w:rsidRPr="008D2C4E">
        <w:rPr>
          <w:spacing w:val="-2"/>
          <w:sz w:val="22"/>
          <w:szCs w:val="22"/>
          <w:lang w:eastAsia="en-US"/>
        </w:rPr>
        <w:t>л</w:t>
      </w:r>
      <w:r w:rsidRPr="008D2C4E">
        <w:rPr>
          <w:sz w:val="22"/>
          <w:szCs w:val="22"/>
          <w:lang w:eastAsia="en-US"/>
        </w:rPr>
        <w:t>жны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пе</w:t>
      </w:r>
      <w:r w:rsidRPr="008D2C4E">
        <w:rPr>
          <w:spacing w:val="-3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еч</w:t>
      </w:r>
      <w:r w:rsidRPr="008D2C4E">
        <w:rPr>
          <w:spacing w:val="1"/>
          <w:sz w:val="22"/>
          <w:szCs w:val="22"/>
          <w:lang w:eastAsia="en-US"/>
        </w:rPr>
        <w:t>и</w:t>
      </w:r>
      <w:r w:rsidRPr="008D2C4E">
        <w:rPr>
          <w:sz w:val="22"/>
          <w:szCs w:val="22"/>
          <w:lang w:eastAsia="en-US"/>
        </w:rPr>
        <w:t>сля</w:t>
      </w:r>
      <w:r w:rsidRPr="008D2C4E">
        <w:rPr>
          <w:spacing w:val="-1"/>
          <w:sz w:val="22"/>
          <w:szCs w:val="22"/>
          <w:lang w:eastAsia="en-US"/>
        </w:rPr>
        <w:t>т</w:t>
      </w:r>
      <w:r w:rsidRPr="008D2C4E">
        <w:rPr>
          <w:spacing w:val="-3"/>
          <w:sz w:val="22"/>
          <w:szCs w:val="22"/>
          <w:lang w:eastAsia="en-US"/>
        </w:rPr>
        <w:t>ь</w:t>
      </w:r>
      <w:r w:rsidRPr="008D2C4E">
        <w:rPr>
          <w:sz w:val="22"/>
          <w:szCs w:val="22"/>
          <w:lang w:eastAsia="en-US"/>
        </w:rPr>
        <w:t>ся</w:t>
      </w:r>
      <w:r w:rsidRPr="008D2C4E">
        <w:rPr>
          <w:spacing w:val="30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ден</w:t>
      </w:r>
      <w:r w:rsidRPr="008D2C4E">
        <w:rPr>
          <w:spacing w:val="-3"/>
          <w:sz w:val="22"/>
          <w:szCs w:val="22"/>
          <w:lang w:eastAsia="en-US"/>
        </w:rPr>
        <w:t>е</w:t>
      </w:r>
      <w:r w:rsidRPr="008D2C4E">
        <w:rPr>
          <w:sz w:val="22"/>
          <w:szCs w:val="22"/>
          <w:lang w:eastAsia="en-US"/>
        </w:rPr>
        <w:t>жные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с</w:t>
      </w:r>
      <w:r w:rsidRPr="008D2C4E">
        <w:rPr>
          <w:spacing w:val="-2"/>
          <w:sz w:val="22"/>
          <w:szCs w:val="22"/>
          <w:lang w:eastAsia="en-US"/>
        </w:rPr>
        <w:t>р</w:t>
      </w:r>
      <w:r w:rsidRPr="008D2C4E">
        <w:rPr>
          <w:sz w:val="22"/>
          <w:szCs w:val="22"/>
          <w:lang w:eastAsia="en-US"/>
        </w:rPr>
        <w:t>едст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а</w:t>
      </w:r>
      <w:r w:rsidRPr="008D2C4E">
        <w:rPr>
          <w:spacing w:val="31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в</w:t>
      </w:r>
      <w:r w:rsidRPr="008D2C4E">
        <w:rPr>
          <w:spacing w:val="27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оплату</w:t>
      </w:r>
      <w:r w:rsidRPr="008D2C4E">
        <w:rPr>
          <w:spacing w:val="28"/>
          <w:sz w:val="22"/>
          <w:szCs w:val="22"/>
          <w:lang w:eastAsia="en-US"/>
        </w:rPr>
        <w:t xml:space="preserve"> </w:t>
      </w:r>
      <w:r w:rsidRPr="008D2C4E">
        <w:rPr>
          <w:sz w:val="22"/>
          <w:szCs w:val="22"/>
          <w:lang w:eastAsia="en-US"/>
        </w:rPr>
        <w:t>це</w:t>
      </w:r>
      <w:r w:rsidRPr="008D2C4E">
        <w:rPr>
          <w:spacing w:val="-1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ных б</w:t>
      </w:r>
      <w:r w:rsidRPr="008D2C4E">
        <w:rPr>
          <w:spacing w:val="-2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 xml:space="preserve">маг </w:t>
      </w:r>
      <w:r w:rsidRPr="008D2C4E">
        <w:rPr>
          <w:spacing w:val="-2"/>
          <w:sz w:val="22"/>
          <w:szCs w:val="22"/>
          <w:lang w:eastAsia="en-US"/>
        </w:rPr>
        <w:t>в</w:t>
      </w:r>
      <w:r w:rsidRPr="008D2C4E">
        <w:rPr>
          <w:sz w:val="22"/>
          <w:szCs w:val="22"/>
          <w:lang w:eastAsia="en-US"/>
        </w:rPr>
        <w:t>ып</w:t>
      </w:r>
      <w:r w:rsidRPr="008D2C4E">
        <w:rPr>
          <w:spacing w:val="-3"/>
          <w:sz w:val="22"/>
          <w:szCs w:val="22"/>
          <w:lang w:eastAsia="en-US"/>
        </w:rPr>
        <w:t>у</w:t>
      </w:r>
      <w:r w:rsidRPr="008D2C4E">
        <w:rPr>
          <w:sz w:val="22"/>
          <w:szCs w:val="22"/>
          <w:lang w:eastAsia="en-US"/>
        </w:rPr>
        <w:t>ска:</w:t>
      </w:r>
    </w:p>
    <w:p w:rsidR="00951F73" w:rsidRPr="008D2C4E" w:rsidRDefault="00951F73" w:rsidP="008D2C4E">
      <w:pPr>
        <w:autoSpaceDE/>
        <w:autoSpaceDN/>
        <w:adjustRightInd w:val="0"/>
        <w:ind w:firstLine="567"/>
        <w:jc w:val="both"/>
        <w:rPr>
          <w:b/>
          <w:sz w:val="22"/>
          <w:szCs w:val="22"/>
        </w:rPr>
      </w:pPr>
      <w:r w:rsidRPr="008D2C4E">
        <w:rPr>
          <w:sz w:val="22"/>
          <w:szCs w:val="22"/>
        </w:rPr>
        <w:t xml:space="preserve">Полное фирменное наименование: </w:t>
      </w:r>
      <w:r w:rsidRPr="008D2C4E">
        <w:rPr>
          <w:b/>
          <w:i/>
          <w:sz w:val="22"/>
          <w:szCs w:val="22"/>
        </w:rPr>
        <w:t>«Газпромбанк» (Акционерное общество)</w:t>
      </w:r>
    </w:p>
    <w:p w:rsidR="00951F73" w:rsidRPr="008D2C4E" w:rsidRDefault="00951F73" w:rsidP="008D2C4E">
      <w:pPr>
        <w:autoSpaceDE/>
        <w:autoSpaceDN/>
        <w:adjustRightInd w:val="0"/>
        <w:ind w:firstLine="567"/>
        <w:jc w:val="both"/>
        <w:rPr>
          <w:i/>
          <w:sz w:val="22"/>
          <w:szCs w:val="22"/>
        </w:rPr>
      </w:pPr>
      <w:r w:rsidRPr="008D2C4E">
        <w:rPr>
          <w:sz w:val="22"/>
          <w:szCs w:val="22"/>
        </w:rPr>
        <w:t xml:space="preserve">Сокращенное фирменное наименование: </w:t>
      </w:r>
      <w:r w:rsidRPr="008D2C4E">
        <w:rPr>
          <w:rFonts w:eastAsia="MS Mincho"/>
          <w:b/>
          <w:bCs/>
          <w:i/>
          <w:iCs/>
          <w:sz w:val="22"/>
          <w:szCs w:val="22"/>
          <w:lang w:eastAsia="ja-JP"/>
        </w:rPr>
        <w:t>Банк ГПБ (АО)</w:t>
      </w:r>
    </w:p>
    <w:p w:rsidR="00951F73" w:rsidRPr="008D2C4E" w:rsidRDefault="00951F73" w:rsidP="008D2C4E">
      <w:pPr>
        <w:widowControl w:val="0"/>
        <w:autoSpaceDE/>
        <w:autoSpaceDN/>
        <w:spacing w:line="252" w:lineRule="exact"/>
        <w:ind w:left="567"/>
        <w:rPr>
          <w:sz w:val="22"/>
          <w:szCs w:val="22"/>
          <w:lang w:eastAsia="en-US"/>
        </w:rPr>
      </w:pPr>
      <w:r w:rsidRPr="008D2C4E">
        <w:rPr>
          <w:spacing w:val="-2"/>
          <w:sz w:val="22"/>
          <w:szCs w:val="22"/>
          <w:lang w:eastAsia="en-US"/>
        </w:rPr>
        <w:t>Н</w:t>
      </w:r>
      <w:r w:rsidRPr="008D2C4E">
        <w:rPr>
          <w:sz w:val="22"/>
          <w:szCs w:val="22"/>
          <w:lang w:eastAsia="en-US"/>
        </w:rPr>
        <w:t>омер счет</w:t>
      </w:r>
      <w:r w:rsidRPr="008D2C4E">
        <w:rPr>
          <w:spacing w:val="-3"/>
          <w:sz w:val="22"/>
          <w:szCs w:val="22"/>
          <w:lang w:eastAsia="en-US"/>
        </w:rPr>
        <w:t>а</w:t>
      </w:r>
      <w:r w:rsidRPr="008D2C4E">
        <w:rPr>
          <w:sz w:val="22"/>
          <w:szCs w:val="22"/>
          <w:lang w:eastAsia="en-US"/>
        </w:rPr>
        <w:t>:</w:t>
      </w:r>
      <w:r w:rsidRPr="008D2C4E">
        <w:rPr>
          <w:spacing w:val="1"/>
          <w:sz w:val="22"/>
          <w:szCs w:val="22"/>
          <w:lang w:eastAsia="en-US"/>
        </w:rPr>
        <w:t xml:space="preserve"> </w:t>
      </w:r>
      <w:r w:rsidRPr="008D2C4E">
        <w:rPr>
          <w:b/>
          <w:i/>
          <w:spacing w:val="1"/>
          <w:sz w:val="22"/>
          <w:szCs w:val="22"/>
          <w:lang w:eastAsia="en-US"/>
        </w:rPr>
        <w:t>30411810600000000123</w:t>
      </w:r>
    </w:p>
    <w:p w:rsidR="00951F73" w:rsidRPr="002D5028" w:rsidRDefault="00951F73" w:rsidP="00931499">
      <w:pPr>
        <w:adjustRightInd w:val="0"/>
        <w:ind w:firstLine="567"/>
        <w:jc w:val="both"/>
        <w:rPr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ИНН получателя средств, поступающих в оплату ценных бумаг:</w:t>
      </w:r>
      <w:r w:rsidRPr="002D5028">
        <w:rPr>
          <w:sz w:val="22"/>
          <w:szCs w:val="22"/>
          <w:lang w:eastAsia="en-US"/>
        </w:rPr>
        <w:t xml:space="preserve"> </w:t>
      </w:r>
      <w:r w:rsidRPr="002D5028">
        <w:rPr>
          <w:b/>
          <w:i/>
          <w:sz w:val="22"/>
          <w:szCs w:val="22"/>
        </w:rPr>
        <w:t>7744001497</w:t>
      </w:r>
    </w:p>
    <w:p w:rsidR="00951F73" w:rsidRPr="002D5028" w:rsidRDefault="00951F73" w:rsidP="00931499">
      <w:pPr>
        <w:widowControl w:val="0"/>
        <w:spacing w:before="1"/>
        <w:ind w:left="567"/>
        <w:rPr>
          <w:b/>
          <w:bCs/>
          <w:i/>
          <w:iCs/>
          <w:sz w:val="22"/>
          <w:szCs w:val="22"/>
        </w:rPr>
      </w:pPr>
      <w:r w:rsidRPr="002D5028">
        <w:rPr>
          <w:spacing w:val="-1"/>
          <w:sz w:val="22"/>
          <w:szCs w:val="22"/>
          <w:lang w:eastAsia="en-US"/>
        </w:rPr>
        <w:t>К</w:t>
      </w:r>
      <w:r w:rsidRPr="002D5028">
        <w:rPr>
          <w:spacing w:val="-2"/>
          <w:sz w:val="22"/>
          <w:szCs w:val="22"/>
          <w:lang w:eastAsia="en-US"/>
        </w:rPr>
        <w:t>П</w:t>
      </w:r>
      <w:r w:rsidRPr="002D5028">
        <w:rPr>
          <w:sz w:val="22"/>
          <w:szCs w:val="22"/>
          <w:lang w:eastAsia="en-US"/>
        </w:rPr>
        <w:t>П</w:t>
      </w:r>
      <w:r w:rsidRPr="002D5028">
        <w:rPr>
          <w:spacing w:val="-1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пол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pacing w:val="-1"/>
          <w:sz w:val="22"/>
          <w:szCs w:val="22"/>
          <w:lang w:eastAsia="en-US"/>
        </w:rPr>
        <w:t>ч</w:t>
      </w:r>
      <w:r w:rsidRPr="002D5028">
        <w:rPr>
          <w:sz w:val="22"/>
          <w:szCs w:val="22"/>
          <w:lang w:eastAsia="en-US"/>
        </w:rPr>
        <w:t>ателя средст</w:t>
      </w:r>
      <w:r w:rsidRPr="002D5028">
        <w:rPr>
          <w:spacing w:val="-2"/>
          <w:sz w:val="22"/>
          <w:szCs w:val="22"/>
          <w:lang w:eastAsia="en-US"/>
        </w:rPr>
        <w:t>в</w:t>
      </w:r>
      <w:r w:rsidRPr="002D5028">
        <w:rPr>
          <w:sz w:val="22"/>
          <w:szCs w:val="22"/>
          <w:lang w:eastAsia="en-US"/>
        </w:rPr>
        <w:t>,</w:t>
      </w:r>
      <w:r w:rsidRPr="002D5028">
        <w:rPr>
          <w:spacing w:val="-3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пост</w:t>
      </w:r>
      <w:r w:rsidRPr="002D5028">
        <w:rPr>
          <w:spacing w:val="-4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пающих в</w:t>
      </w:r>
      <w:r w:rsidRPr="002D5028">
        <w:rPr>
          <w:spacing w:val="-2"/>
          <w:sz w:val="22"/>
          <w:szCs w:val="22"/>
          <w:lang w:eastAsia="en-US"/>
        </w:rPr>
        <w:t xml:space="preserve"> </w:t>
      </w:r>
      <w:r w:rsidRPr="002D5028">
        <w:rPr>
          <w:sz w:val="22"/>
          <w:szCs w:val="22"/>
          <w:lang w:eastAsia="en-US"/>
        </w:rPr>
        <w:t>оплату</w:t>
      </w:r>
      <w:r w:rsidRPr="002D5028">
        <w:rPr>
          <w:spacing w:val="-3"/>
          <w:sz w:val="22"/>
          <w:szCs w:val="22"/>
          <w:lang w:eastAsia="en-US"/>
        </w:rPr>
        <w:t xml:space="preserve"> ц</w:t>
      </w:r>
      <w:r w:rsidRPr="002D5028">
        <w:rPr>
          <w:sz w:val="22"/>
          <w:szCs w:val="22"/>
          <w:lang w:eastAsia="en-US"/>
        </w:rPr>
        <w:t>ен</w:t>
      </w:r>
      <w:r w:rsidRPr="002D5028">
        <w:rPr>
          <w:spacing w:val="-1"/>
          <w:sz w:val="22"/>
          <w:szCs w:val="22"/>
          <w:lang w:eastAsia="en-US"/>
        </w:rPr>
        <w:t>н</w:t>
      </w:r>
      <w:r w:rsidRPr="002D5028">
        <w:rPr>
          <w:sz w:val="22"/>
          <w:szCs w:val="22"/>
          <w:lang w:eastAsia="en-US"/>
        </w:rPr>
        <w:t>ых б</w:t>
      </w:r>
      <w:r w:rsidRPr="002D5028">
        <w:rPr>
          <w:spacing w:val="-3"/>
          <w:sz w:val="22"/>
          <w:szCs w:val="22"/>
          <w:lang w:eastAsia="en-US"/>
        </w:rPr>
        <w:t>у</w:t>
      </w:r>
      <w:r w:rsidRPr="002D5028">
        <w:rPr>
          <w:sz w:val="22"/>
          <w:szCs w:val="22"/>
          <w:lang w:eastAsia="en-US"/>
        </w:rPr>
        <w:t>ма</w:t>
      </w:r>
      <w:r w:rsidRPr="002D5028">
        <w:rPr>
          <w:spacing w:val="-1"/>
          <w:sz w:val="22"/>
          <w:szCs w:val="22"/>
          <w:lang w:eastAsia="en-US"/>
        </w:rPr>
        <w:t>г</w:t>
      </w:r>
      <w:r w:rsidRPr="002D5028">
        <w:rPr>
          <w:sz w:val="22"/>
          <w:szCs w:val="22"/>
          <w:lang w:eastAsia="en-US"/>
        </w:rPr>
        <w:t>:</w:t>
      </w:r>
      <w:r w:rsidRPr="002D5028">
        <w:rPr>
          <w:spacing w:val="1"/>
          <w:sz w:val="22"/>
          <w:szCs w:val="22"/>
          <w:lang w:eastAsia="en-US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997950001</w:t>
      </w:r>
    </w:p>
    <w:p w:rsidR="00951F73" w:rsidRPr="000B5BC0" w:rsidRDefault="00951F73" w:rsidP="000B5BC0">
      <w:pPr>
        <w:ind w:firstLine="567"/>
        <w:jc w:val="both"/>
        <w:rPr>
          <w:b/>
          <w:i/>
          <w:sz w:val="22"/>
          <w:szCs w:val="22"/>
        </w:rPr>
      </w:pP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:rsidR="00951F73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r w:rsidRPr="00080570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:rsidR="00951F73" w:rsidRPr="00080570" w:rsidRDefault="00951F73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>
        <w:rPr>
          <w:b/>
          <w:bCs/>
          <w:i/>
          <w:iCs/>
          <w:sz w:val="22"/>
          <w:szCs w:val="22"/>
        </w:rPr>
        <w:t>044525505</w:t>
      </w:r>
    </w:p>
    <w:p w:rsidR="00951F73" w:rsidRPr="009E54AE" w:rsidRDefault="00951F73" w:rsidP="009E54AE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9E54AE">
        <w:rPr>
          <w:b/>
          <w:bCs/>
          <w:i/>
          <w:iCs/>
          <w:sz w:val="22"/>
          <w:szCs w:val="22"/>
        </w:rPr>
        <w:t>770101001</w:t>
      </w:r>
    </w:p>
    <w:p w:rsidR="00951F73" w:rsidRDefault="00951F73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:rsidR="00951F73" w:rsidRDefault="00951F73" w:rsidP="00931549">
      <w:pPr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Pr="000868E4">
        <w:rPr>
          <w:b/>
          <w:i/>
          <w:sz w:val="22"/>
          <w:szCs w:val="22"/>
        </w:rPr>
        <w:t>словия и порядок оплаты ценных бумаг</w:t>
      </w:r>
      <w:r>
        <w:rPr>
          <w:b/>
          <w:i/>
          <w:sz w:val="22"/>
          <w:szCs w:val="22"/>
        </w:rPr>
        <w:t>,</w:t>
      </w:r>
      <w:r w:rsidRPr="00EB0297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>
        <w:rPr>
          <w:b/>
          <w:bCs/>
          <w:i/>
          <w:iCs/>
          <w:sz w:val="22"/>
          <w:szCs w:val="22"/>
        </w:rPr>
        <w:t>,</w:t>
      </w:r>
      <w:r w:rsidRPr="000868E4">
        <w:rPr>
          <w:b/>
          <w:i/>
          <w:sz w:val="22"/>
          <w:szCs w:val="22"/>
        </w:rPr>
        <w:t xml:space="preserve"> указаны в п. 8.</w:t>
      </w:r>
      <w:r>
        <w:rPr>
          <w:b/>
          <w:i/>
          <w:sz w:val="22"/>
          <w:szCs w:val="22"/>
        </w:rPr>
        <w:t>5</w:t>
      </w:r>
      <w:r w:rsidRPr="000868E4">
        <w:rPr>
          <w:b/>
          <w:i/>
          <w:sz w:val="22"/>
          <w:szCs w:val="22"/>
        </w:rPr>
        <w:t>. Программы облигаций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951F73" w:rsidRPr="001B42CA" w:rsidRDefault="00951F73" w:rsidP="00931549">
      <w:pPr>
        <w:adjustRightInd w:val="0"/>
        <w:ind w:firstLine="539"/>
        <w:jc w:val="both"/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, который представляется после завершения размещения </w:t>
      </w:r>
      <w:r>
        <w:rPr>
          <w:sz w:val="22"/>
          <w:szCs w:val="22"/>
        </w:rPr>
        <w:t>облигаций</w:t>
      </w:r>
    </w:p>
    <w:p w:rsidR="00951F73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8.</w:t>
      </w:r>
      <w:r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:rsidR="00951F73" w:rsidRPr="001B42C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951F73" w:rsidRPr="001B42C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951F73" w:rsidRPr="001B42CA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Биржевые </w:t>
      </w:r>
      <w:r w:rsidRPr="00A5192B">
        <w:rPr>
          <w:b/>
          <w:i/>
          <w:sz w:val="22"/>
          <w:szCs w:val="22"/>
        </w:rPr>
        <w:t xml:space="preserve">облигации погашаются по непогашенной части номинальной стоимости в </w:t>
      </w:r>
      <w:r w:rsidRPr="00A5192B">
        <w:rPr>
          <w:b/>
          <w:bCs/>
          <w:i/>
          <w:iCs/>
          <w:sz w:val="22"/>
          <w:szCs w:val="22"/>
        </w:rPr>
        <w:t>5 460 (Пять тысяч четыреста шестидесятый)</w:t>
      </w:r>
      <w:r w:rsidRPr="00A5192B">
        <w:rPr>
          <w:b/>
          <w:i/>
          <w:sz w:val="22"/>
          <w:szCs w:val="22"/>
        </w:rPr>
        <w:t xml:space="preserve"> день с даты начала размещения Биржевых облигаций выпуска.</w:t>
      </w:r>
    </w:p>
    <w:p w:rsidR="00951F73" w:rsidRPr="00A5192B" w:rsidRDefault="00951F73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Дата начала и дата окончания погашения совпадают.</w:t>
      </w: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и условия погашения Биржевых облигаций.</w:t>
      </w: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A5192B">
        <w:rPr>
          <w:b/>
          <w:i/>
          <w:sz w:val="22"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 биржевых облигаций.</w:t>
      </w: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951F73" w:rsidRPr="00A5192B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Доходом</w:t>
      </w:r>
      <w:r w:rsidRPr="00A5192B">
        <w:rPr>
          <w:b/>
          <w:bCs/>
          <w:i/>
          <w:sz w:val="22"/>
          <w:szCs w:val="22"/>
        </w:rPr>
        <w:t xml:space="preserve"> по </w:t>
      </w:r>
      <w:r w:rsidRPr="00A5192B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на непогашенную часть номинальной стоимости Биржевых облигаций и выплачиваемых в дату окончания соответствующего купонного периода. 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 xml:space="preserve">Биржевые облигации имеют 60 (Шестьдесят) купонных периодов. 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Длительность каждого из купонных периодов устанавливается равной 91 (Девяносто один) день.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ДНКП(i) = ДНР +91 * (i-1), где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(i=1,2,3…,60);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ДОКП(i) = ДНР + 91 * i, где</w:t>
      </w:r>
    </w:p>
    <w:p w:rsidR="00951F73" w:rsidRPr="00A5192B" w:rsidRDefault="00951F73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(i=1,2,3…60);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B32CC6">
      <w:pPr>
        <w:adjustRightInd w:val="0"/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размера дохода, выплачиваемого по каждому купону: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A5192B">
        <w:rPr>
          <w:b/>
          <w:bCs/>
          <w:i/>
          <w:sz w:val="22"/>
          <w:szCs w:val="22"/>
        </w:rPr>
        <w:t>КД</w:t>
      </w:r>
      <w:r w:rsidRPr="00A5192B">
        <w:rPr>
          <w:b/>
          <w:bCs/>
          <w:i/>
          <w:sz w:val="22"/>
          <w:szCs w:val="22"/>
          <w:lang w:val="fr-FR"/>
        </w:rPr>
        <w:t>i= Ci * Nom * (</w:t>
      </w:r>
      <w:r w:rsidRPr="00A5192B">
        <w:rPr>
          <w:b/>
          <w:bCs/>
          <w:i/>
          <w:sz w:val="22"/>
          <w:szCs w:val="22"/>
        </w:rPr>
        <w:t>ДОКП</w:t>
      </w:r>
      <w:r w:rsidRPr="00A5192B">
        <w:rPr>
          <w:b/>
          <w:bCs/>
          <w:i/>
          <w:sz w:val="22"/>
          <w:szCs w:val="22"/>
          <w:lang w:val="fr-FR"/>
        </w:rPr>
        <w:t xml:space="preserve">(i) - </w:t>
      </w:r>
      <w:r w:rsidRPr="00A5192B">
        <w:rPr>
          <w:b/>
          <w:bCs/>
          <w:i/>
          <w:sz w:val="22"/>
          <w:szCs w:val="22"/>
        </w:rPr>
        <w:t>ДНКП</w:t>
      </w:r>
      <w:r w:rsidRPr="00A5192B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где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A5192B">
        <w:rPr>
          <w:b/>
          <w:bCs/>
          <w:i/>
          <w:iCs/>
          <w:sz w:val="22"/>
          <w:szCs w:val="22"/>
        </w:rPr>
        <w:t xml:space="preserve"> (в рублях)</w:t>
      </w:r>
      <w:r w:rsidRPr="00A5192B">
        <w:rPr>
          <w:b/>
          <w:bCs/>
          <w:i/>
          <w:sz w:val="22"/>
          <w:szCs w:val="22"/>
        </w:rPr>
        <w:t>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Nom – непогашенная часть номинальной стоимости одной Биржевой облигации (в рублях);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i - порядковый номер купонного периода (i=1,2,3…60).</w:t>
      </w:r>
    </w:p>
    <w:p w:rsidR="00951F73" w:rsidRPr="00A5192B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A5192B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951F73" w:rsidRPr="00A5192B" w:rsidRDefault="00951F73" w:rsidP="00052335">
      <w:pPr>
        <w:ind w:firstLine="539"/>
        <w:jc w:val="both"/>
        <w:rPr>
          <w:sz w:val="22"/>
        </w:rPr>
      </w:pPr>
    </w:p>
    <w:p w:rsidR="00951F73" w:rsidRPr="00A5192B" w:rsidRDefault="00951F73" w:rsidP="00052335">
      <w:pPr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процентной ставки по</w:t>
      </w:r>
      <w:r w:rsidRPr="00A5192B" w:rsidDel="00C90BAE">
        <w:rPr>
          <w:sz w:val="22"/>
        </w:rPr>
        <w:t xml:space="preserve"> </w:t>
      </w:r>
      <w:r w:rsidRPr="00A5192B">
        <w:rPr>
          <w:sz w:val="22"/>
        </w:rPr>
        <w:t>первому купону:</w:t>
      </w:r>
    </w:p>
    <w:p w:rsidR="00951F73" w:rsidRPr="00A5192B" w:rsidRDefault="00951F73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A5192B">
        <w:rPr>
          <w:b/>
          <w:bCs/>
          <w:i/>
          <w:iCs/>
          <w:sz w:val="22"/>
          <w:szCs w:val="22"/>
        </w:rPr>
        <w:t xml:space="preserve">подпункте 2 </w:t>
      </w:r>
      <w:r w:rsidRPr="00A5192B">
        <w:rPr>
          <w:b/>
          <w:bCs/>
          <w:i/>
          <w:sz w:val="22"/>
          <w:szCs w:val="22"/>
        </w:rPr>
        <w:t>п. 8.3. Программы.</w:t>
      </w:r>
    </w:p>
    <w:p w:rsidR="00951F73" w:rsidRPr="00A5192B" w:rsidRDefault="00951F73" w:rsidP="00052335">
      <w:pPr>
        <w:ind w:firstLine="539"/>
        <w:jc w:val="both"/>
        <w:rPr>
          <w:b/>
          <w:i/>
          <w:sz w:val="22"/>
        </w:rPr>
      </w:pPr>
      <w:r w:rsidRPr="00A5192B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:rsidR="00951F73" w:rsidRPr="00A5192B" w:rsidRDefault="00951F73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A5192B" w:rsidRDefault="00951F73" w:rsidP="00410ED6">
      <w:pPr>
        <w:adjustRightInd w:val="0"/>
        <w:ind w:firstLine="539"/>
        <w:jc w:val="both"/>
        <w:rPr>
          <w:sz w:val="22"/>
        </w:rPr>
      </w:pPr>
      <w:r w:rsidRPr="00A5192B">
        <w:rPr>
          <w:sz w:val="22"/>
        </w:rPr>
        <w:t>Порядок определения процентной ставки по купонам, начиная со второго:</w:t>
      </w:r>
    </w:p>
    <w:p w:rsidR="00951F73" w:rsidRPr="00A5192B" w:rsidRDefault="00951F73" w:rsidP="00E606F6">
      <w:pPr>
        <w:ind w:firstLine="539"/>
        <w:jc w:val="both"/>
        <w:rPr>
          <w:b/>
          <w:i/>
          <w:sz w:val="22"/>
        </w:rPr>
      </w:pPr>
    </w:p>
    <w:p w:rsidR="00951F73" w:rsidRPr="00F645DC" w:rsidRDefault="00951F73" w:rsidP="007162AB">
      <w:pPr>
        <w:jc w:val="both"/>
        <w:rPr>
          <w:b/>
          <w:bCs/>
          <w:i/>
          <w:iCs/>
          <w:color w:val="000000" w:themeColor="text1"/>
          <w:sz w:val="22"/>
        </w:rPr>
      </w:pPr>
      <w:r w:rsidRPr="00A5192B">
        <w:rPr>
          <w:b/>
          <w:bCs/>
          <w:i/>
          <w:iCs/>
          <w:sz w:val="22"/>
        </w:rPr>
        <w:t xml:space="preserve">Процентные ставки  </w:t>
      </w:r>
      <w:r w:rsidRPr="00F645DC">
        <w:rPr>
          <w:b/>
          <w:bCs/>
          <w:i/>
          <w:iCs/>
          <w:color w:val="000000" w:themeColor="text1"/>
          <w:sz w:val="22"/>
        </w:rPr>
        <w:t>со  второго по двадцать четвертый купонный период включительно устанавливаются равной процентной ставке по первому купонному периоду.</w:t>
      </w:r>
    </w:p>
    <w:p w:rsidR="00951F73" w:rsidRPr="00F645DC" w:rsidRDefault="00951F73" w:rsidP="00410ED6">
      <w:pPr>
        <w:adjustRightInd w:val="0"/>
        <w:ind w:firstLine="539"/>
        <w:jc w:val="both"/>
        <w:rPr>
          <w:b/>
          <w:bCs/>
          <w:i/>
          <w:color w:val="000000" w:themeColor="text1"/>
          <w:sz w:val="22"/>
          <w:szCs w:val="22"/>
        </w:rPr>
      </w:pPr>
      <w:r w:rsidRPr="00F645DC">
        <w:rPr>
          <w:b/>
          <w:bCs/>
          <w:i/>
          <w:color w:val="000000" w:themeColor="text1"/>
          <w:sz w:val="22"/>
          <w:szCs w:val="22"/>
        </w:rPr>
        <w:t>Порядок определения процентных ставок по купонам, начиная с двадцать пятого определяется в порядке, описанном в пп. Б) и В) п. 9.3 Программы биржевых облигаций.</w:t>
      </w:r>
    </w:p>
    <w:p w:rsidR="00951F73" w:rsidRDefault="00951F73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645DC">
        <w:rPr>
          <w:b/>
          <w:bCs/>
          <w:i/>
          <w:color w:val="000000" w:themeColor="text1"/>
          <w:sz w:val="22"/>
          <w:szCs w:val="22"/>
        </w:rPr>
        <w:t xml:space="preserve">Информация о величине процентных ставок по купонам, начиная со второго по шестидесятый купонный период включительно, раскрывается Эмитентом в соответствии с п. 11 </w:t>
      </w:r>
      <w:r w:rsidRPr="00D875F2">
        <w:rPr>
          <w:b/>
          <w:bCs/>
          <w:i/>
          <w:sz w:val="22"/>
          <w:szCs w:val="22"/>
        </w:rPr>
        <w:t>Программы</w:t>
      </w:r>
      <w:r>
        <w:rPr>
          <w:b/>
          <w:bCs/>
          <w:i/>
          <w:sz w:val="22"/>
          <w:szCs w:val="22"/>
        </w:rPr>
        <w:t xml:space="preserve"> </w:t>
      </w:r>
      <w:r w:rsidRPr="00CF1050">
        <w:rPr>
          <w:b/>
          <w:bCs/>
          <w:i/>
          <w:sz w:val="22"/>
          <w:szCs w:val="22"/>
        </w:rPr>
        <w:t>биржевых облигаций</w:t>
      </w:r>
      <w:r w:rsidRPr="00D875F2">
        <w:rPr>
          <w:b/>
          <w:bCs/>
          <w:i/>
          <w:sz w:val="22"/>
          <w:szCs w:val="22"/>
        </w:rPr>
        <w:t>.</w:t>
      </w:r>
    </w:p>
    <w:p w:rsidR="00951F73" w:rsidRDefault="00951F73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D875F2" w:rsidRDefault="00951F73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F1050">
        <w:rPr>
          <w:b/>
          <w:bCs/>
          <w:i/>
          <w:sz w:val="22"/>
          <w:szCs w:val="22"/>
        </w:rPr>
        <w:t xml:space="preserve">Иные сведения о порядке определения дохода, выплачиваемого по каждой </w:t>
      </w:r>
      <w:r>
        <w:rPr>
          <w:b/>
          <w:bCs/>
          <w:i/>
          <w:sz w:val="22"/>
          <w:szCs w:val="22"/>
        </w:rPr>
        <w:t xml:space="preserve">Биржевой </w:t>
      </w:r>
      <w:r w:rsidRPr="00CF1050">
        <w:rPr>
          <w:b/>
          <w:bCs/>
          <w:i/>
          <w:sz w:val="22"/>
          <w:szCs w:val="22"/>
        </w:rPr>
        <w:t>облигации, подлежащие указанию в настоящем пункте, указаны в пункте 9.</w:t>
      </w:r>
      <w:r>
        <w:rPr>
          <w:b/>
          <w:bCs/>
          <w:i/>
          <w:sz w:val="22"/>
          <w:szCs w:val="22"/>
        </w:rPr>
        <w:t>3</w:t>
      </w:r>
      <w:r w:rsidRPr="00CF1050">
        <w:rPr>
          <w:b/>
          <w:bCs/>
          <w:i/>
          <w:sz w:val="22"/>
          <w:szCs w:val="22"/>
        </w:rPr>
        <w:t>.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:rsidR="00951F73" w:rsidRPr="001B42CA" w:rsidRDefault="00951F73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lastRenderedPageBreak/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1B42CA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</w:t>
      </w:r>
      <w:r w:rsidRPr="00A5192B">
        <w:rPr>
          <w:b/>
          <w:bCs/>
          <w:i/>
          <w:sz w:val="22"/>
          <w:szCs w:val="22"/>
        </w:rPr>
        <w:t>+ 91 * i, где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 xml:space="preserve"> - порядковый номер купонного периода, (i=1,2,3…60);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A5192B">
        <w:rPr>
          <w:b/>
          <w:bCs/>
          <w:i/>
          <w:sz w:val="22"/>
          <w:szCs w:val="22"/>
        </w:rPr>
        <w:t>ДОКП(</w:t>
      </w:r>
      <w:r w:rsidRPr="00A5192B">
        <w:rPr>
          <w:b/>
          <w:bCs/>
          <w:i/>
          <w:sz w:val="22"/>
          <w:szCs w:val="22"/>
          <w:lang w:val="en-US"/>
        </w:rPr>
        <w:t>i</w:t>
      </w:r>
      <w:r w:rsidRPr="00A5192B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951F73" w:rsidRPr="00A5192B" w:rsidRDefault="00951F73" w:rsidP="00FB7FE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1B42CA" w:rsidRDefault="00951F73" w:rsidP="00FB7FE9">
      <w:pPr>
        <w:adjustRightInd w:val="0"/>
        <w:ind w:firstLine="539"/>
        <w:jc w:val="both"/>
        <w:rPr>
          <w:sz w:val="22"/>
          <w:szCs w:val="22"/>
        </w:rPr>
      </w:pPr>
      <w:r w:rsidRPr="00A5192B">
        <w:rPr>
          <w:sz w:val="22"/>
          <w:szCs w:val="22"/>
        </w:rPr>
        <w:t>Порядок выплаты дохода по облигациям</w:t>
      </w:r>
      <w:r w:rsidRPr="001B42CA">
        <w:rPr>
          <w:sz w:val="22"/>
          <w:szCs w:val="22"/>
        </w:rPr>
        <w:t xml:space="preserve">: </w:t>
      </w:r>
    </w:p>
    <w:p w:rsidR="00951F73" w:rsidRPr="001B42CA" w:rsidRDefault="00951F73" w:rsidP="00FB7FE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951F73" w:rsidRPr="001B42CA" w:rsidRDefault="00951F73" w:rsidP="00FB7FE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пункте 9.4 Программы биржевых облигаций.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:rsidR="00951F73" w:rsidRDefault="00951F73" w:rsidP="009B53E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Pr="00CF1050">
        <w:rPr>
          <w:b/>
          <w:i/>
          <w:sz w:val="22"/>
          <w:szCs w:val="22"/>
        </w:rPr>
        <w:t>по требованию их владельцев</w:t>
      </w:r>
      <w:r>
        <w:rPr>
          <w:b/>
          <w:i/>
          <w:sz w:val="22"/>
          <w:szCs w:val="22"/>
        </w:rPr>
        <w:t>.</w:t>
      </w:r>
    </w:p>
    <w:p w:rsidR="00951F73" w:rsidRPr="009B53EF" w:rsidRDefault="00951F73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</w:rPr>
      </w:pPr>
      <w:r w:rsidRPr="009B53EF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951F73" w:rsidRDefault="00951F73" w:rsidP="00931549">
      <w:pPr>
        <w:ind w:firstLine="539"/>
        <w:jc w:val="both"/>
        <w:rPr>
          <w:sz w:val="22"/>
          <w:szCs w:val="22"/>
        </w:rPr>
      </w:pPr>
    </w:p>
    <w:p w:rsidR="00951F73" w:rsidRPr="001B42CA" w:rsidRDefault="00951F73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:rsidR="00951F73" w:rsidRDefault="00951F73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Pr="00033381">
        <w:rPr>
          <w:b/>
          <w:i/>
          <w:sz w:val="22"/>
          <w:szCs w:val="22"/>
        </w:rPr>
        <w:t xml:space="preserve"> о </w:t>
      </w:r>
      <w:r>
        <w:rPr>
          <w:b/>
          <w:i/>
          <w:sz w:val="22"/>
          <w:szCs w:val="22"/>
        </w:rPr>
        <w:t xml:space="preserve">порядке и условиях </w:t>
      </w:r>
      <w:r w:rsidRPr="00033381">
        <w:rPr>
          <w:b/>
          <w:i/>
          <w:sz w:val="22"/>
          <w:szCs w:val="22"/>
        </w:rPr>
        <w:t>досрочно</w:t>
      </w:r>
      <w:r>
        <w:rPr>
          <w:b/>
          <w:i/>
          <w:sz w:val="22"/>
          <w:szCs w:val="22"/>
        </w:rPr>
        <w:t>го</w:t>
      </w:r>
      <w:r w:rsidRPr="00033381">
        <w:rPr>
          <w:b/>
          <w:i/>
          <w:sz w:val="22"/>
          <w:szCs w:val="22"/>
        </w:rPr>
        <w:t xml:space="preserve"> погашени</w:t>
      </w:r>
      <w:r>
        <w:rPr>
          <w:b/>
          <w:i/>
          <w:sz w:val="22"/>
          <w:szCs w:val="22"/>
        </w:rPr>
        <w:t>я</w:t>
      </w:r>
      <w:r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пункте 9.5.1 Программы биржевых облигаций.</w:t>
      </w:r>
      <w:r w:rsidRPr="00CF1050">
        <w:rPr>
          <w:b/>
          <w:bCs/>
          <w:i/>
          <w:iCs/>
          <w:sz w:val="22"/>
          <w:szCs w:val="22"/>
        </w:rPr>
        <w:t xml:space="preserve"> </w:t>
      </w:r>
    </w:p>
    <w:p w:rsidR="00951F73" w:rsidRDefault="00951F73" w:rsidP="00CF105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951F73" w:rsidRPr="001B42CA" w:rsidRDefault="00951F73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9.5.2 Досрочное погашение по усмотрению эмитента</w:t>
      </w:r>
    </w:p>
    <w:p w:rsidR="00951F73" w:rsidRPr="00812317" w:rsidRDefault="00951F73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Биржевых облигаций по усмотрению Эмитента в соответствии с п.п. 9.5.2.1, 9.5.2.2, п. 9.5.2.3 Программы биржевых облигаций, не предусмотрена.</w:t>
      </w:r>
    </w:p>
    <w:p w:rsidR="00951F73" w:rsidRPr="00812317" w:rsidRDefault="00951F73" w:rsidP="006261DC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951F73" w:rsidRPr="001B42CA" w:rsidRDefault="00951F73" w:rsidP="00931549">
      <w:pPr>
        <w:ind w:firstLine="539"/>
        <w:jc w:val="both"/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:rsidR="00951F73" w:rsidRPr="001B42CA" w:rsidRDefault="00951F73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>
        <w:rPr>
          <w:b/>
          <w:i/>
          <w:sz w:val="22"/>
          <w:szCs w:val="22"/>
        </w:rPr>
        <w:t>дату</w:t>
      </w:r>
      <w:r w:rsidRPr="001B42CA">
        <w:rPr>
          <w:b/>
          <w:i/>
          <w:sz w:val="22"/>
          <w:szCs w:val="22"/>
        </w:rPr>
        <w:t xml:space="preserve">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:rsidR="00951F73" w:rsidRPr="009510BE" w:rsidRDefault="00951F73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9510BE">
        <w:rPr>
          <w:b/>
          <w:bCs/>
          <w:i/>
          <w:spacing w:val="-1"/>
          <w:sz w:val="22"/>
          <w:szCs w:val="22"/>
          <w:lang w:eastAsia="en-US"/>
        </w:rPr>
        <w:t xml:space="preserve">Предусматривается возможность приобретения Эмитентом Биржевых облигаций </w:t>
      </w:r>
      <w:r w:rsidRPr="009510BE">
        <w:rPr>
          <w:b/>
          <w:bCs/>
          <w:i/>
          <w:iCs/>
          <w:sz w:val="22"/>
          <w:szCs w:val="22"/>
        </w:rPr>
        <w:t xml:space="preserve">по требованию их владельцев и </w:t>
      </w:r>
      <w:r w:rsidRPr="009510BE">
        <w:rPr>
          <w:b/>
          <w:bCs/>
          <w:i/>
          <w:spacing w:val="-1"/>
          <w:sz w:val="22"/>
          <w:szCs w:val="22"/>
          <w:lang w:eastAsia="en-US"/>
        </w:rPr>
        <w:t>по соглашению с их владельцем (владельцами) с возможностью их последующего обращения.</w:t>
      </w:r>
    </w:p>
    <w:p w:rsidR="00951F73" w:rsidRDefault="00951F73" w:rsidP="009510BE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:rsidR="00951F73" w:rsidRPr="00812317" w:rsidRDefault="00951F73" w:rsidP="009510BE">
      <w:pPr>
        <w:widowControl w:val="0"/>
        <w:spacing w:line="252" w:lineRule="exact"/>
        <w:ind w:right="111" w:firstLine="540"/>
        <w:jc w:val="both"/>
      </w:pPr>
      <w:r w:rsidRPr="00812317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12317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12317">
        <w:t xml:space="preserve"> </w:t>
      </w:r>
    </w:p>
    <w:p w:rsidR="00951F73" w:rsidRDefault="00951F7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:rsidR="00951F73" w:rsidRPr="009510BE" w:rsidRDefault="00951F7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9510BE">
        <w:rPr>
          <w:b/>
          <w:i/>
          <w:sz w:val="22"/>
          <w:szCs w:val="22"/>
        </w:rPr>
        <w:t>с возможностью их последующего обращения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951F73" w:rsidRPr="009510BE" w:rsidRDefault="00951F7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9510BE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951F73" w:rsidRPr="009510BE" w:rsidRDefault="00951F7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9510BE">
        <w:rPr>
          <w:b/>
          <w:bCs/>
          <w:i/>
          <w:sz w:val="22"/>
          <w:szCs w:val="22"/>
          <w:lang w:eastAsia="en-US"/>
        </w:rPr>
        <w:t>приведены</w:t>
      </w:r>
      <w:r w:rsidRPr="009510BE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10.3, п. 10.4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951F73" w:rsidRPr="002D5028" w:rsidRDefault="00951F73" w:rsidP="009510BE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2D5028">
        <w:rPr>
          <w:b/>
          <w:bCs/>
          <w:i/>
          <w:iCs/>
          <w:sz w:val="22"/>
          <w:szCs w:val="22"/>
        </w:rPr>
        <w:lastRenderedPageBreak/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2D5028">
        <w:rPr>
          <w:b/>
          <w:i/>
          <w:sz w:val="22"/>
          <w:szCs w:val="22"/>
        </w:rPr>
        <w:t xml:space="preserve"> </w:t>
      </w:r>
      <w:r w:rsidRPr="002D5028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951F73" w:rsidRPr="002D5028" w:rsidRDefault="00951F73" w:rsidP="009510BE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2D5028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951F73" w:rsidRPr="002D5028" w:rsidRDefault="00951F73" w:rsidP="009510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2D5028">
        <w:rPr>
          <w:b/>
          <w:bCs/>
          <w:i/>
          <w:sz w:val="22"/>
          <w:szCs w:val="22"/>
          <w:lang w:eastAsia="en-US"/>
        </w:rPr>
        <w:t>приведены</w:t>
      </w:r>
      <w:r w:rsidRPr="002D5028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п.10.3, п. 10.4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>
        <w:rPr>
          <w:sz w:val="22"/>
          <w:szCs w:val="22"/>
        </w:rPr>
        <w:t>облигаций</w:t>
      </w:r>
    </w:p>
    <w:p w:rsidR="00951F73" w:rsidRPr="001B42CA" w:rsidRDefault="00951F73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пункте 11 Программы биржевых облигаций.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:rsidR="00951F73" w:rsidRPr="001B42CA" w:rsidRDefault="00951F73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>
        <w:rPr>
          <w:sz w:val="22"/>
          <w:szCs w:val="22"/>
        </w:rPr>
        <w:t>их условий выпуска (дополнительном выпуске) 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 изготовление.</w:t>
      </w:r>
    </w:p>
    <w:p w:rsidR="00951F73" w:rsidRPr="001B42CA" w:rsidRDefault="00951F73" w:rsidP="00931549">
      <w:pPr>
        <w:adjustRightInd w:val="0"/>
        <w:ind w:firstLine="539"/>
        <w:jc w:val="both"/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 по Биржевым облигациям не предусмотрено.</w:t>
      </w:r>
    </w:p>
    <w:p w:rsidR="00951F73" w:rsidRPr="001B42CA" w:rsidRDefault="00951F73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:rsidR="00951F73" w:rsidRPr="001B42CA" w:rsidRDefault="00951F73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:rsidR="00951F73" w:rsidRPr="001B42CA" w:rsidRDefault="00951F73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951F73" w:rsidRDefault="00951F73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пункте 1</w:t>
      </w:r>
      <w:r w:rsidRPr="00A33AF2">
        <w:rPr>
          <w:b/>
          <w:i/>
          <w:sz w:val="22"/>
          <w:szCs w:val="22"/>
        </w:rPr>
        <w:t>8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>
        <w:rPr>
          <w:b/>
          <w:i/>
          <w:sz w:val="22"/>
          <w:szCs w:val="22"/>
        </w:rPr>
        <w:lastRenderedPageBreak/>
        <w:t>Образец сертификата</w:t>
      </w:r>
    </w:p>
    <w:p w:rsidR="00951F73" w:rsidRPr="00675291" w:rsidRDefault="00951F73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Pr="00675291">
        <w:rPr>
          <w:b/>
          <w:sz w:val="22"/>
          <w:szCs w:val="22"/>
          <w:u w:val="single"/>
        </w:rPr>
        <w:t>ицевая сторона</w:t>
      </w:r>
    </w:p>
    <w:p w:rsidR="00951F73" w:rsidRPr="001B42CA" w:rsidRDefault="005F6AA2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62230</wp:posOffset>
                </wp:positionV>
                <wp:extent cx="6496050" cy="8831580"/>
                <wp:effectExtent l="19050" t="19050" r="3810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8018D" id="Rectangle 3" o:spid="_x0000_s1026" style="position:absolute;margin-left:-3.45pt;margin-top:4.9pt;width:511.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951F73" w:rsidRPr="00132894" w:rsidRDefault="00951F73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:rsidR="00951F73" w:rsidRPr="00132894" w:rsidRDefault="00951F73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:rsidR="00951F73" w:rsidRPr="001B42CA" w:rsidRDefault="00951F73" w:rsidP="002817C5">
      <w:pPr>
        <w:jc w:val="center"/>
        <w:rPr>
          <w:sz w:val="22"/>
          <w:szCs w:val="22"/>
        </w:rPr>
      </w:pPr>
    </w:p>
    <w:p w:rsidR="00951F73" w:rsidRPr="00046FBF" w:rsidRDefault="00951F73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:rsidR="00951F73" w:rsidRPr="00046FBF" w:rsidRDefault="00951F73" w:rsidP="002817C5">
      <w:pPr>
        <w:jc w:val="center"/>
        <w:rPr>
          <w:b/>
          <w:i/>
          <w:sz w:val="22"/>
          <w:szCs w:val="22"/>
        </w:rPr>
      </w:pPr>
    </w:p>
    <w:p w:rsidR="00951F73" w:rsidRPr="00046FBF" w:rsidRDefault="00951F73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Почтовый адрес: </w:t>
      </w:r>
      <w:r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:rsidR="00951F73" w:rsidRPr="009E575A" w:rsidRDefault="00951F73" w:rsidP="002817C5">
      <w:pPr>
        <w:ind w:right="-109"/>
        <w:jc w:val="center"/>
        <w:rPr>
          <w:b/>
          <w:bCs/>
          <w:sz w:val="22"/>
          <w:szCs w:val="22"/>
        </w:rPr>
      </w:pPr>
    </w:p>
    <w:p w:rsidR="00951F73" w:rsidRPr="009E575A" w:rsidRDefault="00951F73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:rsidR="00951F73" w:rsidRPr="00F645DC" w:rsidRDefault="00951F73" w:rsidP="002817C5">
      <w:pPr>
        <w:spacing w:before="120"/>
        <w:ind w:right="-109" w:firstLine="851"/>
        <w:jc w:val="center"/>
        <w:rPr>
          <w:b/>
          <w:bCs/>
          <w:iCs/>
          <w:color w:val="000000" w:themeColor="text1"/>
          <w:sz w:val="22"/>
          <w:szCs w:val="22"/>
        </w:rPr>
      </w:pPr>
      <w:r w:rsidRPr="001A643B">
        <w:rPr>
          <w:b/>
          <w:bCs/>
          <w:iCs/>
          <w:sz w:val="22"/>
          <w:szCs w:val="22"/>
        </w:rPr>
        <w:t>биржевы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облигаци</w:t>
      </w:r>
      <w:r>
        <w:rPr>
          <w:b/>
          <w:bCs/>
          <w:iCs/>
          <w:sz w:val="22"/>
          <w:szCs w:val="22"/>
        </w:rPr>
        <w:t>й</w:t>
      </w:r>
      <w:r w:rsidRPr="001A643B">
        <w:rPr>
          <w:b/>
          <w:bCs/>
          <w:iCs/>
          <w:sz w:val="22"/>
          <w:szCs w:val="22"/>
        </w:rPr>
        <w:t xml:space="preserve"> неконвертируемы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процентны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документарны</w:t>
      </w:r>
      <w:r>
        <w:rPr>
          <w:b/>
          <w:bCs/>
          <w:iCs/>
          <w:sz w:val="22"/>
          <w:szCs w:val="22"/>
        </w:rPr>
        <w:t>х</w:t>
      </w:r>
      <w:r w:rsidRPr="001A643B">
        <w:rPr>
          <w:b/>
          <w:bCs/>
          <w:iCs/>
          <w:sz w:val="22"/>
          <w:szCs w:val="22"/>
        </w:rPr>
        <w:t xml:space="preserve"> на предъявителя с обязательным централизованным </w:t>
      </w:r>
      <w:r w:rsidRPr="00F645DC">
        <w:rPr>
          <w:b/>
          <w:bCs/>
          <w:iCs/>
          <w:color w:val="000000" w:themeColor="text1"/>
          <w:sz w:val="22"/>
          <w:szCs w:val="22"/>
        </w:rPr>
        <w:t>хранением серии 001Р-04</w:t>
      </w:r>
    </w:p>
    <w:p w:rsidR="00951F73" w:rsidRPr="009E575A" w:rsidRDefault="00951F73" w:rsidP="002817C5">
      <w:pPr>
        <w:ind w:right="-109"/>
        <w:jc w:val="center"/>
        <w:rPr>
          <w:sz w:val="22"/>
          <w:szCs w:val="22"/>
        </w:rPr>
      </w:pPr>
    </w:p>
    <w:p w:rsidR="00951F73" w:rsidRDefault="00951F73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951F73" w:rsidRPr="009E575A" w:rsidRDefault="00951F73" w:rsidP="002817C5">
      <w:pPr>
        <w:ind w:right="-109"/>
        <w:jc w:val="center"/>
        <w:rPr>
          <w:sz w:val="22"/>
          <w:szCs w:val="22"/>
        </w:rPr>
      </w:pPr>
    </w:p>
    <w:p w:rsidR="00951F73" w:rsidRDefault="00951F73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  <w:r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>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51F73" w:rsidRPr="00EB718C" w:rsidTr="00467253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73" w:rsidRPr="00EB718C" w:rsidRDefault="00951F73" w:rsidP="004672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1F73" w:rsidRDefault="00951F73" w:rsidP="002817C5">
      <w:pPr>
        <w:ind w:right="-109"/>
        <w:jc w:val="center"/>
        <w:rPr>
          <w:sz w:val="22"/>
          <w:szCs w:val="22"/>
        </w:rPr>
      </w:pPr>
    </w:p>
    <w:p w:rsidR="00951F73" w:rsidRPr="009E575A" w:rsidRDefault="00951F73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951F73" w:rsidRPr="00EB718C" w:rsidTr="00467253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951F73" w:rsidRPr="00EB718C" w:rsidRDefault="00951F73" w:rsidP="0046725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51F73" w:rsidRDefault="00951F73" w:rsidP="00C72E1D">
      <w:pPr>
        <w:ind w:right="140"/>
        <w:jc w:val="center"/>
        <w:rPr>
          <w:sz w:val="22"/>
          <w:szCs w:val="22"/>
        </w:rPr>
      </w:pPr>
    </w:p>
    <w:p w:rsidR="00951F73" w:rsidRPr="009E575A" w:rsidRDefault="00951F73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 xml:space="preserve">Биржевые облигации размещаются путем открытой подписки в рамках программы биржевых облигаций </w:t>
      </w:r>
      <w:r>
        <w:rPr>
          <w:sz w:val="22"/>
          <w:szCs w:val="22"/>
        </w:rPr>
        <w:t>серии 001</w:t>
      </w:r>
      <w:r>
        <w:rPr>
          <w:sz w:val="22"/>
          <w:szCs w:val="22"/>
          <w:lang w:val="en-US"/>
        </w:rPr>
        <w:t>P</w:t>
      </w:r>
      <w:r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:rsidR="00951F73" w:rsidRPr="009E575A" w:rsidRDefault="00951F73" w:rsidP="00A738F6">
      <w:pPr>
        <w:ind w:left="180" w:right="140" w:firstLine="851"/>
        <w:jc w:val="center"/>
        <w:rPr>
          <w:sz w:val="22"/>
          <w:szCs w:val="22"/>
        </w:rPr>
      </w:pPr>
    </w:p>
    <w:p w:rsidR="00951F73" w:rsidRPr="009E575A" w:rsidRDefault="00951F73" w:rsidP="001841DB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Pr="009E575A">
        <w:rPr>
          <w:sz w:val="22"/>
          <w:szCs w:val="22"/>
        </w:rPr>
        <w:t xml:space="preserve"> общество «</w:t>
      </w:r>
      <w:r>
        <w:rPr>
          <w:sz w:val="22"/>
          <w:szCs w:val="22"/>
        </w:rPr>
        <w:t>Государственная транспортная лизинговая компания</w:t>
      </w:r>
      <w:r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1F73" w:rsidRPr="009E575A" w:rsidRDefault="00951F73" w:rsidP="007C0AD1">
      <w:pPr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</w:t>
      </w:r>
      <w:r w:rsidRPr="007C0AD1">
        <w:rPr>
          <w:sz w:val="22"/>
          <w:szCs w:val="22"/>
        </w:rPr>
        <w:t>10 000 000 (Десяти миллионов) Биржевых облигаций номинальной стоимостью 1 000 (Одна тысяча) рублей каждая общей номинальной стоимостью 10 000 000 000 (Десять миллиардов)  рублей.</w:t>
      </w:r>
    </w:p>
    <w:p w:rsidR="00951F73" w:rsidRPr="009E575A" w:rsidRDefault="00951F73" w:rsidP="001841DB">
      <w:pPr>
        <w:spacing w:before="80" w:after="20"/>
        <w:ind w:left="180" w:right="140"/>
        <w:jc w:val="both"/>
        <w:rPr>
          <w:sz w:val="22"/>
          <w:szCs w:val="22"/>
        </w:rPr>
      </w:pPr>
    </w:p>
    <w:p w:rsidR="00951F73" w:rsidRPr="009E575A" w:rsidRDefault="00951F73" w:rsidP="001841DB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951F73" w:rsidRPr="009E575A" w:rsidRDefault="00951F73" w:rsidP="001841DB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:rsidR="00951F73" w:rsidRPr="008D2C4E" w:rsidRDefault="00951F73" w:rsidP="001841DB">
      <w:pPr>
        <w:spacing w:before="80" w:after="20"/>
        <w:ind w:left="142" w:right="140"/>
        <w:jc w:val="both"/>
        <w:rPr>
          <w:b/>
          <w:sz w:val="24"/>
          <w:szCs w:val="24"/>
        </w:rPr>
      </w:pPr>
      <w:r w:rsidRPr="007C0AD1">
        <w:rPr>
          <w:bCs/>
          <w:sz w:val="24"/>
          <w:szCs w:val="24"/>
        </w:rPr>
        <w:t xml:space="preserve">составляет  </w:t>
      </w:r>
      <w:r w:rsidRPr="007C0AD1">
        <w:rPr>
          <w:b/>
          <w:bCs/>
          <w:sz w:val="24"/>
          <w:szCs w:val="24"/>
        </w:rPr>
        <w:t xml:space="preserve">10 000 000 (Десять миллионов) </w:t>
      </w:r>
      <w:r w:rsidRPr="008D2C4E">
        <w:rPr>
          <w:bCs/>
          <w:sz w:val="24"/>
          <w:szCs w:val="24"/>
        </w:rPr>
        <w:t>Биржевых облигаций</w:t>
      </w:r>
      <w:r w:rsidRPr="008D2C4E">
        <w:rPr>
          <w:sz w:val="24"/>
          <w:szCs w:val="24"/>
        </w:rPr>
        <w:t xml:space="preserve"> номинальной стоимостью </w:t>
      </w:r>
      <w:r w:rsidRPr="007C0AD1">
        <w:rPr>
          <w:b/>
          <w:sz w:val="24"/>
          <w:szCs w:val="24"/>
        </w:rPr>
        <w:t>1 000 (Одна тысяча)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sz w:val="24"/>
          <w:szCs w:val="24"/>
        </w:rPr>
        <w:t xml:space="preserve"> каждая и общей номинальной стоимостью </w:t>
      </w:r>
      <w:r w:rsidRPr="007C0AD1">
        <w:rPr>
          <w:b/>
          <w:bCs/>
          <w:iCs/>
          <w:sz w:val="24"/>
          <w:szCs w:val="24"/>
        </w:rPr>
        <w:t>10 000 000 000 (Десять миллиардов)</w:t>
      </w:r>
      <w:r w:rsidRPr="007C0AD1">
        <w:rPr>
          <w:b/>
          <w:bCs/>
          <w:sz w:val="24"/>
          <w:szCs w:val="24"/>
        </w:rPr>
        <w:t xml:space="preserve"> рублей</w:t>
      </w:r>
      <w:r w:rsidRPr="007C0AD1">
        <w:rPr>
          <w:b/>
          <w:sz w:val="24"/>
          <w:szCs w:val="24"/>
        </w:rPr>
        <w:t>.</w:t>
      </w:r>
    </w:p>
    <w:p w:rsidR="00951F73" w:rsidRPr="009E575A" w:rsidRDefault="00951F73" w:rsidP="001841DB">
      <w:pPr>
        <w:ind w:left="180" w:right="140"/>
        <w:jc w:val="both"/>
        <w:rPr>
          <w:sz w:val="22"/>
          <w:szCs w:val="22"/>
        </w:rPr>
      </w:pPr>
    </w:p>
    <w:p w:rsidR="00951F73" w:rsidRPr="009E575A" w:rsidRDefault="00951F73" w:rsidP="001841DB">
      <w:pPr>
        <w:ind w:left="180" w:right="140"/>
        <w:jc w:val="both"/>
        <w:rPr>
          <w:sz w:val="22"/>
          <w:szCs w:val="22"/>
        </w:rPr>
      </w:pPr>
    </w:p>
    <w:p w:rsidR="00951F73" w:rsidRPr="00871804" w:rsidRDefault="00951F73" w:rsidP="001841DB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951F73" w:rsidRPr="001B42CA" w:rsidRDefault="00951F73" w:rsidP="001841DB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951F73" w:rsidRPr="001B42CA" w:rsidRDefault="00951F73" w:rsidP="00C72E1D">
      <w:pPr>
        <w:ind w:right="140"/>
        <w:jc w:val="both"/>
        <w:rPr>
          <w:i/>
          <w:iCs/>
          <w:sz w:val="22"/>
          <w:szCs w:val="22"/>
        </w:rPr>
      </w:pPr>
    </w:p>
    <w:p w:rsidR="00951F73" w:rsidRPr="001B42CA" w:rsidRDefault="00951F73" w:rsidP="00C72E1D">
      <w:pPr>
        <w:ind w:right="140"/>
        <w:jc w:val="both"/>
        <w:rPr>
          <w:sz w:val="22"/>
          <w:szCs w:val="22"/>
        </w:rPr>
      </w:pPr>
    </w:p>
    <w:p w:rsidR="00951F73" w:rsidRPr="002C3C72" w:rsidRDefault="00951F73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 </w:t>
      </w:r>
      <w:r w:rsidRPr="002C3C72">
        <w:rPr>
          <w:b/>
          <w:bCs/>
          <w:sz w:val="22"/>
          <w:szCs w:val="22"/>
        </w:rPr>
        <w:t xml:space="preserve">  _________________</w:t>
      </w:r>
      <w:r w:rsidRPr="002C3C72">
        <w:rPr>
          <w:b/>
          <w:i/>
          <w:sz w:val="22"/>
          <w:szCs w:val="22"/>
        </w:rPr>
        <w:t xml:space="preserve"> </w:t>
      </w:r>
      <w:r w:rsidRPr="002C3C72">
        <w:rPr>
          <w:sz w:val="22"/>
          <w:szCs w:val="22"/>
        </w:rPr>
        <w:t>/</w:t>
      </w:r>
      <w:r>
        <w:rPr>
          <w:sz w:val="22"/>
          <w:szCs w:val="22"/>
        </w:rPr>
        <w:t>Храмагин С.Н.</w:t>
      </w:r>
      <w:r w:rsidRPr="002C3C72">
        <w:rPr>
          <w:sz w:val="22"/>
          <w:szCs w:val="22"/>
        </w:rPr>
        <w:t xml:space="preserve">/ </w:t>
      </w:r>
    </w:p>
    <w:p w:rsidR="00951F73" w:rsidRDefault="00951F73" w:rsidP="00C72E1D">
      <w:pPr>
        <w:ind w:right="140"/>
        <w:jc w:val="both"/>
        <w:rPr>
          <w:b/>
          <w:bCs/>
          <w:sz w:val="22"/>
          <w:szCs w:val="22"/>
        </w:rPr>
      </w:pPr>
    </w:p>
    <w:p w:rsidR="00951F73" w:rsidRPr="001B42CA" w:rsidRDefault="00951F73" w:rsidP="00C72E1D">
      <w:pPr>
        <w:ind w:right="140"/>
        <w:jc w:val="both"/>
        <w:rPr>
          <w:b/>
          <w:bCs/>
          <w:sz w:val="22"/>
          <w:szCs w:val="22"/>
        </w:rPr>
      </w:pPr>
    </w:p>
    <w:p w:rsidR="00951F73" w:rsidRPr="001B42CA" w:rsidRDefault="00951F73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:rsidR="00951F73" w:rsidRPr="001B42CA" w:rsidRDefault="00951F73" w:rsidP="00C72E1D">
      <w:pPr>
        <w:ind w:right="140"/>
      </w:pPr>
    </w:p>
    <w:p w:rsidR="00951F73" w:rsidRPr="001B42CA" w:rsidRDefault="00951F73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951F73" w:rsidRPr="001B42CA" w:rsidRDefault="00951F73" w:rsidP="007C5B88">
      <w:pPr>
        <w:adjustRightInd w:val="0"/>
        <w:ind w:firstLine="540"/>
        <w:jc w:val="both"/>
        <w:rPr>
          <w:sz w:val="22"/>
          <w:szCs w:val="22"/>
        </w:rPr>
      </w:pPr>
    </w:p>
    <w:p w:rsidR="00951F73" w:rsidRPr="00984034" w:rsidRDefault="00951F73" w:rsidP="00C72E1D">
      <w:pPr>
        <w:adjustRightInd w:val="0"/>
        <w:ind w:firstLine="540"/>
        <w:jc w:val="right"/>
        <w:rPr>
          <w:b/>
          <w:u w:val="single"/>
        </w:rPr>
      </w:pPr>
      <w:r w:rsidRPr="00984034">
        <w:rPr>
          <w:b/>
          <w:u w:val="single"/>
        </w:rPr>
        <w:t>Оборотная  сторона</w:t>
      </w:r>
    </w:p>
    <w:p w:rsidR="00951F73" w:rsidRPr="00984034" w:rsidRDefault="00951F73" w:rsidP="00AC63EE">
      <w:pPr>
        <w:ind w:firstLine="539"/>
        <w:jc w:val="both"/>
        <w:rPr>
          <w:bCs/>
          <w:iCs/>
        </w:rPr>
      </w:pPr>
      <w:r w:rsidRPr="00984034">
        <w:rPr>
          <w:bCs/>
          <w:iCs/>
        </w:rPr>
        <w:t>Далее в настоящем документе будут использоваться следующие термины:</w:t>
      </w:r>
    </w:p>
    <w:p w:rsidR="00951F73" w:rsidRPr="00984034" w:rsidRDefault="00951F73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 серии 001</w:t>
      </w:r>
      <w:r w:rsidRPr="00984034">
        <w:rPr>
          <w:b/>
          <w:bCs/>
          <w:i/>
          <w:iCs/>
          <w:lang w:val="en-US"/>
        </w:rPr>
        <w:t>P</w:t>
      </w:r>
      <w:r w:rsidRPr="00984034">
        <w:rPr>
          <w:b/>
          <w:bCs/>
          <w:i/>
          <w:iCs/>
        </w:rPr>
        <w:t>, имеющая идентификационный номер 4-32432-Н-001Р-02Е от 23.08.2016, в рамках которой размещается настоящий выпуск Биржевых облигаций.</w:t>
      </w:r>
    </w:p>
    <w:p w:rsidR="00951F73" w:rsidRPr="00984034" w:rsidRDefault="00951F73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>Условия выпуска – настоящий документ</w:t>
      </w:r>
      <w:r w:rsidRPr="00984034">
        <w:t xml:space="preserve"> </w:t>
      </w:r>
      <w:r w:rsidRPr="00984034">
        <w:rPr>
          <w:b/>
          <w:i/>
        </w:rPr>
        <w:t>(У</w:t>
      </w:r>
      <w:r w:rsidRPr="00984034">
        <w:rPr>
          <w:b/>
          <w:bCs/>
          <w:i/>
          <w:iCs/>
        </w:rPr>
        <w:t>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951F73" w:rsidRPr="00984034" w:rsidRDefault="00951F73" w:rsidP="00AC63EE">
      <w:pPr>
        <w:ind w:firstLine="539"/>
        <w:jc w:val="both"/>
        <w:rPr>
          <w:b/>
          <w:bCs/>
          <w:i/>
          <w:iCs/>
        </w:rPr>
      </w:pPr>
      <w:r w:rsidRPr="00984034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951F73" w:rsidRPr="00984034" w:rsidRDefault="00951F73" w:rsidP="00AC63EE">
      <w:pPr>
        <w:ind w:firstLine="539"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Эмитент – Публичное акционерное общество «Государственная транспортная лизинговая компания»,  ПАО «ГТЛК».</w:t>
      </w:r>
    </w:p>
    <w:p w:rsidR="00951F73" w:rsidRPr="00984034" w:rsidRDefault="00951F73" w:rsidP="00C72E1D">
      <w:pPr>
        <w:adjustRightInd w:val="0"/>
        <w:ind w:firstLine="540"/>
        <w:jc w:val="right"/>
      </w:pPr>
    </w:p>
    <w:p w:rsidR="00951F73" w:rsidRPr="00984034" w:rsidRDefault="00951F73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lang w:eastAsia="en-US"/>
        </w:rPr>
      </w:pPr>
      <w:r w:rsidRPr="00984034">
        <w:rPr>
          <w:b/>
          <w:lang w:eastAsia="en-US"/>
        </w:rPr>
        <w:t>Идентификационные признаки выпуска биржевых облигаций:</w:t>
      </w:r>
    </w:p>
    <w:p w:rsidR="00951F73" w:rsidRPr="00984034" w:rsidRDefault="00951F73" w:rsidP="00782EB8">
      <w:pPr>
        <w:autoSpaceDE/>
        <w:autoSpaceDN/>
        <w:adjustRightInd w:val="0"/>
        <w:jc w:val="both"/>
        <w:rPr>
          <w:b/>
          <w:lang w:eastAsia="en-US"/>
        </w:rPr>
      </w:pPr>
    </w:p>
    <w:p w:rsidR="00951F73" w:rsidRPr="00F645DC" w:rsidRDefault="00951F73" w:rsidP="00782EB8">
      <w:pPr>
        <w:adjustRightInd w:val="0"/>
        <w:ind w:firstLine="567"/>
        <w:jc w:val="both"/>
        <w:rPr>
          <w:b/>
          <w:bCs/>
          <w:i/>
          <w:color w:val="000000" w:themeColor="text1"/>
          <w:lang w:eastAsia="en-US"/>
        </w:rPr>
      </w:pPr>
      <w:r w:rsidRPr="00984034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984034">
        <w:rPr>
          <w:b/>
          <w:bCs/>
          <w:i/>
          <w:lang w:eastAsia="en-US"/>
        </w:rPr>
        <w:t xml:space="preserve">Биржевые облигации на </w:t>
      </w:r>
      <w:r w:rsidRPr="00F645DC">
        <w:rPr>
          <w:b/>
          <w:bCs/>
          <w:i/>
          <w:color w:val="000000" w:themeColor="text1"/>
          <w:lang w:eastAsia="en-US"/>
        </w:rPr>
        <w:t>предъявителя.</w:t>
      </w:r>
    </w:p>
    <w:p w:rsidR="00951F73" w:rsidRPr="00F645DC" w:rsidRDefault="00951F73" w:rsidP="00782EB8">
      <w:pPr>
        <w:adjustRightInd w:val="0"/>
        <w:ind w:firstLine="567"/>
        <w:jc w:val="both"/>
        <w:rPr>
          <w:b/>
          <w:bCs/>
          <w:i/>
          <w:color w:val="000000" w:themeColor="text1"/>
          <w:lang w:eastAsia="en-US"/>
        </w:rPr>
      </w:pPr>
      <w:r w:rsidRPr="00F645DC">
        <w:rPr>
          <w:color w:val="000000" w:themeColor="text1"/>
          <w:lang w:eastAsia="en-US"/>
        </w:rPr>
        <w:t xml:space="preserve">Серия: </w:t>
      </w:r>
      <w:r w:rsidRPr="00F645DC">
        <w:rPr>
          <w:b/>
          <w:bCs/>
          <w:i/>
          <w:iCs/>
          <w:color w:val="000000" w:themeColor="text1"/>
        </w:rPr>
        <w:t>001Р-04</w:t>
      </w:r>
      <w:r w:rsidRPr="00F645DC">
        <w:rPr>
          <w:b/>
          <w:bCs/>
          <w:i/>
          <w:color w:val="000000" w:themeColor="text1"/>
          <w:lang w:eastAsia="en-US"/>
        </w:rPr>
        <w:t>.</w:t>
      </w:r>
    </w:p>
    <w:p w:rsidR="00951F73" w:rsidRPr="00A5192B" w:rsidRDefault="00951F73" w:rsidP="00782EB8">
      <w:pPr>
        <w:adjustRightInd w:val="0"/>
        <w:ind w:firstLine="567"/>
        <w:jc w:val="both"/>
        <w:rPr>
          <w:lang w:eastAsia="en-US"/>
        </w:rPr>
      </w:pPr>
      <w:r w:rsidRPr="00F645DC">
        <w:rPr>
          <w:color w:val="000000" w:themeColor="text1"/>
          <w:lang w:eastAsia="en-US"/>
        </w:rPr>
        <w:t xml:space="preserve">Иные идентификационные </w:t>
      </w:r>
      <w:r w:rsidRPr="00A5192B">
        <w:rPr>
          <w:lang w:eastAsia="en-US"/>
        </w:rPr>
        <w:t xml:space="preserve">признаки биржевых облигаций выпуска, размещаемых в рамках программы биржевых облигаций: </w:t>
      </w:r>
      <w:r w:rsidRPr="00A5192B">
        <w:rPr>
          <w:b/>
          <w:bCs/>
          <w:i/>
          <w:lang w:eastAsia="en-US"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951F73" w:rsidRPr="00A5192B" w:rsidRDefault="00951F73" w:rsidP="00782EB8">
      <w:pPr>
        <w:adjustRightInd w:val="0"/>
        <w:ind w:firstLine="567"/>
        <w:jc w:val="both"/>
        <w:rPr>
          <w:b/>
          <w:bCs/>
          <w:i/>
          <w:lang w:eastAsia="en-US"/>
        </w:rPr>
      </w:pPr>
    </w:p>
    <w:p w:rsidR="00951F73" w:rsidRPr="00A5192B" w:rsidRDefault="00951F73" w:rsidP="00782EB8">
      <w:pPr>
        <w:adjustRightInd w:val="0"/>
        <w:ind w:firstLine="567"/>
        <w:jc w:val="both"/>
        <w:rPr>
          <w:lang w:eastAsia="en-US"/>
        </w:rPr>
      </w:pPr>
      <w:r w:rsidRPr="00A5192B">
        <w:rPr>
          <w:lang w:eastAsia="en-US"/>
        </w:rPr>
        <w:t>Срок погашения:</w:t>
      </w:r>
    </w:p>
    <w:p w:rsidR="00951F73" w:rsidRPr="00A5192B" w:rsidRDefault="00951F73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Биржевые облигации погашаются по номинальной стоимости в 5 460 (Пять тысяч четыреста шестидесятый) день с даты начала размещения Биржевых облигаций.</w:t>
      </w:r>
    </w:p>
    <w:p w:rsidR="00951F73" w:rsidRPr="00A5192B" w:rsidRDefault="00951F73" w:rsidP="00782EB8">
      <w:pPr>
        <w:adjustRightInd w:val="0"/>
        <w:ind w:firstLine="567"/>
        <w:jc w:val="both"/>
        <w:rPr>
          <w:rFonts w:eastAsia="Times New Roman,BoldItalic"/>
          <w:b/>
          <w:bCs/>
          <w:i/>
          <w:iCs/>
        </w:rPr>
      </w:pPr>
      <w:r w:rsidRPr="00A5192B">
        <w:rPr>
          <w:rFonts w:eastAsia="Times New Roman,BoldItalic"/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951F73" w:rsidRPr="00A5192B" w:rsidRDefault="00951F73" w:rsidP="00A861C7">
      <w:pPr>
        <w:adjustRightInd w:val="0"/>
        <w:ind w:firstLine="540"/>
        <w:jc w:val="both"/>
      </w:pPr>
    </w:p>
    <w:p w:rsidR="00951F73" w:rsidRPr="00A5192B" w:rsidRDefault="00951F73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  <w:r w:rsidRPr="00A5192B">
        <w:rPr>
          <w:rFonts w:ascii="Times New Roman" w:hAnsi="Times New Roman"/>
          <w:b/>
          <w:bCs/>
          <w:sz w:val="20"/>
          <w:szCs w:val="20"/>
        </w:rPr>
        <w:t>2.</w:t>
      </w:r>
      <w:r w:rsidRPr="00A5192B">
        <w:rPr>
          <w:rFonts w:ascii="Times New Roman" w:hAnsi="Times New Roman"/>
          <w:bCs/>
          <w:sz w:val="20"/>
          <w:szCs w:val="20"/>
        </w:rPr>
        <w:t xml:space="preserve"> </w:t>
      </w:r>
      <w:r w:rsidRPr="00A5192B">
        <w:rPr>
          <w:rFonts w:ascii="Times New Roman" w:hAnsi="Times New Roman"/>
          <w:b/>
          <w:bCs/>
          <w:sz w:val="20"/>
          <w:szCs w:val="20"/>
        </w:rPr>
        <w:t>Права владельца каждой биржевой облигации выпуска</w:t>
      </w:r>
      <w:r w:rsidRPr="00A5192B">
        <w:rPr>
          <w:rFonts w:ascii="Times New Roman" w:hAnsi="Times New Roman"/>
          <w:bCs/>
          <w:sz w:val="20"/>
          <w:szCs w:val="20"/>
        </w:rPr>
        <w:t xml:space="preserve">: </w:t>
      </w:r>
    </w:p>
    <w:p w:rsidR="00951F73" w:rsidRPr="00A5192B" w:rsidRDefault="00951F73" w:rsidP="00183C58">
      <w:pPr>
        <w:pStyle w:val="ConsNormal"/>
        <w:ind w:right="0" w:firstLine="540"/>
        <w:jc w:val="both"/>
        <w:rPr>
          <w:rFonts w:ascii="Times New Roman" w:hAnsi="Times New Roman"/>
          <w:bCs/>
          <w:sz w:val="20"/>
          <w:szCs w:val="20"/>
        </w:rPr>
      </w:pPr>
    </w:p>
    <w:p w:rsidR="00951F73" w:rsidRPr="00984034" w:rsidRDefault="00951F73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951F73" w:rsidRPr="00984034" w:rsidRDefault="00951F73" w:rsidP="007E7BDE">
      <w:pPr>
        <w:ind w:firstLine="539"/>
        <w:contextualSpacing/>
        <w:jc w:val="both"/>
        <w:rPr>
          <w:b/>
          <w:i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>
        <w:rPr>
          <w:b/>
          <w:i/>
          <w:lang w:eastAsia="en-US"/>
        </w:rPr>
        <w:t>.</w:t>
      </w:r>
    </w:p>
    <w:p w:rsidR="00951F73" w:rsidRPr="00984034" w:rsidRDefault="00951F73" w:rsidP="008776E3">
      <w:pPr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:rsidR="00951F73" w:rsidRDefault="00951F73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951F73" w:rsidRPr="0068105F" w:rsidRDefault="00951F73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68105F">
        <w:rPr>
          <w:b/>
          <w:bCs/>
          <w:i/>
          <w:iCs/>
          <w:lang w:eastAsia="en-US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951F73" w:rsidRPr="007E7BDE" w:rsidRDefault="00951F73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951F73" w:rsidRPr="007E7BDE" w:rsidRDefault="00951F73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951F73" w:rsidRPr="007E7BDE" w:rsidRDefault="00951F73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951F73" w:rsidRPr="00984034" w:rsidRDefault="00951F73" w:rsidP="008776E3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984034">
        <w:rPr>
          <w:b/>
          <w:bCs/>
          <w:i/>
          <w:iCs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951F73" w:rsidRPr="007E7BDE" w:rsidRDefault="00951F73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951F73" w:rsidRPr="007E7BDE" w:rsidRDefault="00951F73" w:rsidP="007E7BDE">
      <w:pPr>
        <w:adjustRightInd w:val="0"/>
        <w:ind w:firstLine="539"/>
        <w:contextualSpacing/>
        <w:jc w:val="both"/>
        <w:rPr>
          <w:b/>
          <w:bCs/>
          <w:i/>
          <w:iCs/>
          <w:lang w:eastAsia="en-US"/>
        </w:rPr>
      </w:pPr>
      <w:r w:rsidRPr="007E7BDE">
        <w:rPr>
          <w:b/>
          <w:bCs/>
          <w:i/>
          <w:iCs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1F73" w:rsidRPr="00984034" w:rsidRDefault="00951F73" w:rsidP="008776E3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951F73" w:rsidRDefault="00951F73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  <w:r w:rsidRPr="00984034">
        <w:rPr>
          <w:b/>
          <w:i/>
          <w:lang w:eastAsia="en-US"/>
        </w:rPr>
        <w:t>Предоставление обеспечения по Биржевым облигациям не предусмотрено.</w:t>
      </w:r>
    </w:p>
    <w:p w:rsidR="00951F73" w:rsidRDefault="00951F73" w:rsidP="008F2B7A">
      <w:pPr>
        <w:widowControl w:val="0"/>
        <w:ind w:firstLine="539"/>
        <w:contextualSpacing/>
        <w:jc w:val="both"/>
        <w:rPr>
          <w:b/>
          <w:i/>
          <w:lang w:eastAsia="en-US"/>
        </w:rPr>
      </w:pPr>
    </w:p>
    <w:p w:rsidR="00951F73" w:rsidRPr="00984034" w:rsidRDefault="00951F73" w:rsidP="00932BF7">
      <w:pPr>
        <w:adjustRightInd w:val="0"/>
        <w:ind w:firstLine="540"/>
        <w:jc w:val="both"/>
      </w:pPr>
      <w:r w:rsidRPr="002D5028">
        <w:rPr>
          <w:b/>
          <w:i/>
        </w:rPr>
        <w:t>Размещаемые ценные бумаги не являются ценными бумагами, предназначенными для квалифицированных инвесторов.</w:t>
      </w:r>
    </w:p>
    <w:sectPr w:rsidR="00951F73" w:rsidRPr="00984034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FE" w:rsidRDefault="008A15FE">
      <w:r>
        <w:separator/>
      </w:r>
    </w:p>
  </w:endnote>
  <w:endnote w:type="continuationSeparator" w:id="0">
    <w:p w:rsidR="008A15FE" w:rsidRDefault="008A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3" w:rsidRDefault="00951F73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951F73" w:rsidRDefault="00951F73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73" w:rsidRDefault="00951F73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1B2D">
      <w:rPr>
        <w:rStyle w:val="ab"/>
        <w:noProof/>
      </w:rPr>
      <w:t>3</w:t>
    </w:r>
    <w:r>
      <w:rPr>
        <w:rStyle w:val="ab"/>
      </w:rPr>
      <w:fldChar w:fldCharType="end"/>
    </w:r>
  </w:p>
  <w:p w:rsidR="00951F73" w:rsidRDefault="00951F73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FE" w:rsidRDefault="008A15FE">
      <w:r>
        <w:separator/>
      </w:r>
    </w:p>
  </w:footnote>
  <w:footnote w:type="continuationSeparator" w:id="0">
    <w:p w:rsidR="008A15FE" w:rsidRDefault="008A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A98"/>
    <w:rsid w:val="00005435"/>
    <w:rsid w:val="00014116"/>
    <w:rsid w:val="0001465B"/>
    <w:rsid w:val="00020528"/>
    <w:rsid w:val="00020CBA"/>
    <w:rsid w:val="000233A2"/>
    <w:rsid w:val="00026FA4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3FE5"/>
    <w:rsid w:val="00054B01"/>
    <w:rsid w:val="00056DD4"/>
    <w:rsid w:val="00060D2A"/>
    <w:rsid w:val="0006149B"/>
    <w:rsid w:val="00074A87"/>
    <w:rsid w:val="0007689C"/>
    <w:rsid w:val="00080570"/>
    <w:rsid w:val="00081FAE"/>
    <w:rsid w:val="00085280"/>
    <w:rsid w:val="000868E4"/>
    <w:rsid w:val="00090666"/>
    <w:rsid w:val="00093EF2"/>
    <w:rsid w:val="00093FBA"/>
    <w:rsid w:val="000959CD"/>
    <w:rsid w:val="00095BDC"/>
    <w:rsid w:val="00096949"/>
    <w:rsid w:val="000A2758"/>
    <w:rsid w:val="000A2A9C"/>
    <w:rsid w:val="000A695A"/>
    <w:rsid w:val="000A6B62"/>
    <w:rsid w:val="000B2C9C"/>
    <w:rsid w:val="000B4E7A"/>
    <w:rsid w:val="000B5BC0"/>
    <w:rsid w:val="000C3217"/>
    <w:rsid w:val="000C6F81"/>
    <w:rsid w:val="000C7F83"/>
    <w:rsid w:val="000D50CA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83C58"/>
    <w:rsid w:val="001841DB"/>
    <w:rsid w:val="00187F5D"/>
    <w:rsid w:val="0019233F"/>
    <w:rsid w:val="00192D7A"/>
    <w:rsid w:val="001952CD"/>
    <w:rsid w:val="001A53B3"/>
    <w:rsid w:val="001A643B"/>
    <w:rsid w:val="001B0F65"/>
    <w:rsid w:val="001B24D4"/>
    <w:rsid w:val="001B42CA"/>
    <w:rsid w:val="001B6764"/>
    <w:rsid w:val="001C217B"/>
    <w:rsid w:val="001C2EAC"/>
    <w:rsid w:val="001C6136"/>
    <w:rsid w:val="001C64CA"/>
    <w:rsid w:val="001C6C0A"/>
    <w:rsid w:val="001D3090"/>
    <w:rsid w:val="001E22A0"/>
    <w:rsid w:val="001E2AD9"/>
    <w:rsid w:val="001E4076"/>
    <w:rsid w:val="001E6653"/>
    <w:rsid w:val="001E6851"/>
    <w:rsid w:val="00200049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658"/>
    <w:rsid w:val="002557F6"/>
    <w:rsid w:val="00263E08"/>
    <w:rsid w:val="00272FC0"/>
    <w:rsid w:val="00275B91"/>
    <w:rsid w:val="00277158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23C"/>
    <w:rsid w:val="002B63D3"/>
    <w:rsid w:val="002B772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14E45"/>
    <w:rsid w:val="00331C61"/>
    <w:rsid w:val="003339D1"/>
    <w:rsid w:val="003346E2"/>
    <w:rsid w:val="00342C6D"/>
    <w:rsid w:val="00344174"/>
    <w:rsid w:val="003445D0"/>
    <w:rsid w:val="00345021"/>
    <w:rsid w:val="00346D1C"/>
    <w:rsid w:val="00347450"/>
    <w:rsid w:val="003512E9"/>
    <w:rsid w:val="00353432"/>
    <w:rsid w:val="003539BC"/>
    <w:rsid w:val="00353CB6"/>
    <w:rsid w:val="003567CC"/>
    <w:rsid w:val="00360758"/>
    <w:rsid w:val="00361EED"/>
    <w:rsid w:val="003644DA"/>
    <w:rsid w:val="003832E8"/>
    <w:rsid w:val="00384A8C"/>
    <w:rsid w:val="00392268"/>
    <w:rsid w:val="00392918"/>
    <w:rsid w:val="003A1439"/>
    <w:rsid w:val="003A2C0C"/>
    <w:rsid w:val="003A317F"/>
    <w:rsid w:val="003A4CE8"/>
    <w:rsid w:val="003B2F0F"/>
    <w:rsid w:val="003B3AEC"/>
    <w:rsid w:val="003B6075"/>
    <w:rsid w:val="003C05DD"/>
    <w:rsid w:val="003C46FF"/>
    <w:rsid w:val="003C4B6D"/>
    <w:rsid w:val="003C4E91"/>
    <w:rsid w:val="003D0A5E"/>
    <w:rsid w:val="003E4A19"/>
    <w:rsid w:val="003E702C"/>
    <w:rsid w:val="003E7340"/>
    <w:rsid w:val="003F0E4C"/>
    <w:rsid w:val="003F351F"/>
    <w:rsid w:val="003F4305"/>
    <w:rsid w:val="003F5BAB"/>
    <w:rsid w:val="00404A56"/>
    <w:rsid w:val="004068E6"/>
    <w:rsid w:val="00410ED6"/>
    <w:rsid w:val="0041301E"/>
    <w:rsid w:val="0041646F"/>
    <w:rsid w:val="00421BA2"/>
    <w:rsid w:val="004247B9"/>
    <w:rsid w:val="0043586F"/>
    <w:rsid w:val="00436771"/>
    <w:rsid w:val="0043777C"/>
    <w:rsid w:val="00441F90"/>
    <w:rsid w:val="00446B31"/>
    <w:rsid w:val="0044709B"/>
    <w:rsid w:val="00454242"/>
    <w:rsid w:val="00456432"/>
    <w:rsid w:val="004569C8"/>
    <w:rsid w:val="00457F77"/>
    <w:rsid w:val="00467253"/>
    <w:rsid w:val="00471361"/>
    <w:rsid w:val="0047412B"/>
    <w:rsid w:val="0047681D"/>
    <w:rsid w:val="00480B3E"/>
    <w:rsid w:val="00485CEF"/>
    <w:rsid w:val="00485E2B"/>
    <w:rsid w:val="00492E55"/>
    <w:rsid w:val="00493D42"/>
    <w:rsid w:val="004950C8"/>
    <w:rsid w:val="0049586C"/>
    <w:rsid w:val="004A0E13"/>
    <w:rsid w:val="004A0E33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DA"/>
    <w:rsid w:val="004E3CBB"/>
    <w:rsid w:val="004E4CE7"/>
    <w:rsid w:val="004F3812"/>
    <w:rsid w:val="004F6B6E"/>
    <w:rsid w:val="004F70F9"/>
    <w:rsid w:val="00503B08"/>
    <w:rsid w:val="0050465D"/>
    <w:rsid w:val="00511DDB"/>
    <w:rsid w:val="005146E4"/>
    <w:rsid w:val="00514823"/>
    <w:rsid w:val="005178A7"/>
    <w:rsid w:val="0052012C"/>
    <w:rsid w:val="0052500F"/>
    <w:rsid w:val="005265F7"/>
    <w:rsid w:val="005276A4"/>
    <w:rsid w:val="0052770B"/>
    <w:rsid w:val="005306B4"/>
    <w:rsid w:val="005374D4"/>
    <w:rsid w:val="00543BFA"/>
    <w:rsid w:val="00544047"/>
    <w:rsid w:val="00545A41"/>
    <w:rsid w:val="00550713"/>
    <w:rsid w:val="005617BF"/>
    <w:rsid w:val="00571567"/>
    <w:rsid w:val="00572331"/>
    <w:rsid w:val="00574203"/>
    <w:rsid w:val="00576425"/>
    <w:rsid w:val="0058011D"/>
    <w:rsid w:val="0058142C"/>
    <w:rsid w:val="00586337"/>
    <w:rsid w:val="00586DC1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290A"/>
    <w:rsid w:val="005D4595"/>
    <w:rsid w:val="005D4CF1"/>
    <w:rsid w:val="005D589A"/>
    <w:rsid w:val="005D5F17"/>
    <w:rsid w:val="005E0DAB"/>
    <w:rsid w:val="005E4E3D"/>
    <w:rsid w:val="005E7B33"/>
    <w:rsid w:val="005F4CA1"/>
    <w:rsid w:val="005F6AA2"/>
    <w:rsid w:val="00600FBD"/>
    <w:rsid w:val="006074DA"/>
    <w:rsid w:val="00610504"/>
    <w:rsid w:val="00611492"/>
    <w:rsid w:val="00612A4F"/>
    <w:rsid w:val="00620B9D"/>
    <w:rsid w:val="00625290"/>
    <w:rsid w:val="006261DC"/>
    <w:rsid w:val="0062665D"/>
    <w:rsid w:val="006316BA"/>
    <w:rsid w:val="00631AAE"/>
    <w:rsid w:val="00635B0E"/>
    <w:rsid w:val="00637B67"/>
    <w:rsid w:val="006443C3"/>
    <w:rsid w:val="006503DB"/>
    <w:rsid w:val="0065305D"/>
    <w:rsid w:val="0065473C"/>
    <w:rsid w:val="00655A96"/>
    <w:rsid w:val="00660F69"/>
    <w:rsid w:val="00662784"/>
    <w:rsid w:val="00663146"/>
    <w:rsid w:val="00664546"/>
    <w:rsid w:val="00665F71"/>
    <w:rsid w:val="006674D3"/>
    <w:rsid w:val="006711E7"/>
    <w:rsid w:val="00671397"/>
    <w:rsid w:val="00672C45"/>
    <w:rsid w:val="00673F39"/>
    <w:rsid w:val="00675291"/>
    <w:rsid w:val="00676F35"/>
    <w:rsid w:val="0068105F"/>
    <w:rsid w:val="0068525C"/>
    <w:rsid w:val="0068721C"/>
    <w:rsid w:val="0069225D"/>
    <w:rsid w:val="00695947"/>
    <w:rsid w:val="006A04C7"/>
    <w:rsid w:val="006A61B8"/>
    <w:rsid w:val="006A6F60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29F0"/>
    <w:rsid w:val="006E6DFF"/>
    <w:rsid w:val="006E7BFD"/>
    <w:rsid w:val="006F0D3E"/>
    <w:rsid w:val="006F6942"/>
    <w:rsid w:val="00707602"/>
    <w:rsid w:val="00711D31"/>
    <w:rsid w:val="00712BA8"/>
    <w:rsid w:val="007162AB"/>
    <w:rsid w:val="00720AC7"/>
    <w:rsid w:val="00726B6C"/>
    <w:rsid w:val="00732D28"/>
    <w:rsid w:val="00735539"/>
    <w:rsid w:val="00742810"/>
    <w:rsid w:val="00747495"/>
    <w:rsid w:val="00754432"/>
    <w:rsid w:val="00760C62"/>
    <w:rsid w:val="0076231B"/>
    <w:rsid w:val="00762524"/>
    <w:rsid w:val="0077189B"/>
    <w:rsid w:val="00772C5B"/>
    <w:rsid w:val="00773C69"/>
    <w:rsid w:val="00774401"/>
    <w:rsid w:val="007759A8"/>
    <w:rsid w:val="00777DB5"/>
    <w:rsid w:val="007800AA"/>
    <w:rsid w:val="00782EB8"/>
    <w:rsid w:val="00783F65"/>
    <w:rsid w:val="00784C18"/>
    <w:rsid w:val="007874A7"/>
    <w:rsid w:val="007916A2"/>
    <w:rsid w:val="00793684"/>
    <w:rsid w:val="007A08FD"/>
    <w:rsid w:val="007A565F"/>
    <w:rsid w:val="007A62AD"/>
    <w:rsid w:val="007A69F4"/>
    <w:rsid w:val="007A790C"/>
    <w:rsid w:val="007B3B43"/>
    <w:rsid w:val="007B64C1"/>
    <w:rsid w:val="007C0AD1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E7BDE"/>
    <w:rsid w:val="007F1CF5"/>
    <w:rsid w:val="007F256F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179E"/>
    <w:rsid w:val="00855F1B"/>
    <w:rsid w:val="00860159"/>
    <w:rsid w:val="00861BA8"/>
    <w:rsid w:val="00862D4C"/>
    <w:rsid w:val="00863CA2"/>
    <w:rsid w:val="00864431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15FE"/>
    <w:rsid w:val="008A23BA"/>
    <w:rsid w:val="008A25F4"/>
    <w:rsid w:val="008A4687"/>
    <w:rsid w:val="008A4955"/>
    <w:rsid w:val="008A589F"/>
    <w:rsid w:val="008A74CF"/>
    <w:rsid w:val="008A7883"/>
    <w:rsid w:val="008B334F"/>
    <w:rsid w:val="008B3489"/>
    <w:rsid w:val="008B5391"/>
    <w:rsid w:val="008B5D36"/>
    <w:rsid w:val="008C283F"/>
    <w:rsid w:val="008C77FD"/>
    <w:rsid w:val="008D1927"/>
    <w:rsid w:val="008D2C4E"/>
    <w:rsid w:val="008D333F"/>
    <w:rsid w:val="008F2B7A"/>
    <w:rsid w:val="008F3865"/>
    <w:rsid w:val="008F55E1"/>
    <w:rsid w:val="008F685A"/>
    <w:rsid w:val="009006A1"/>
    <w:rsid w:val="0090100A"/>
    <w:rsid w:val="0090124C"/>
    <w:rsid w:val="0090582C"/>
    <w:rsid w:val="009065DB"/>
    <w:rsid w:val="00907A0D"/>
    <w:rsid w:val="00915BB1"/>
    <w:rsid w:val="00915C86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557B"/>
    <w:rsid w:val="00940E22"/>
    <w:rsid w:val="00941E19"/>
    <w:rsid w:val="00944324"/>
    <w:rsid w:val="009510BE"/>
    <w:rsid w:val="009511A1"/>
    <w:rsid w:val="00951F73"/>
    <w:rsid w:val="00955BC4"/>
    <w:rsid w:val="00955FA9"/>
    <w:rsid w:val="009577A3"/>
    <w:rsid w:val="00972AD2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71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42C1D"/>
    <w:rsid w:val="00A44631"/>
    <w:rsid w:val="00A4587B"/>
    <w:rsid w:val="00A5192B"/>
    <w:rsid w:val="00A60BAD"/>
    <w:rsid w:val="00A619F4"/>
    <w:rsid w:val="00A738F6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7F8E"/>
    <w:rsid w:val="00AA1F37"/>
    <w:rsid w:val="00AA2384"/>
    <w:rsid w:val="00AA449D"/>
    <w:rsid w:val="00AA76A3"/>
    <w:rsid w:val="00AB5E60"/>
    <w:rsid w:val="00AB639B"/>
    <w:rsid w:val="00AC2FFB"/>
    <w:rsid w:val="00AC61E7"/>
    <w:rsid w:val="00AC63EE"/>
    <w:rsid w:val="00AC70B6"/>
    <w:rsid w:val="00AC7D68"/>
    <w:rsid w:val="00AD1566"/>
    <w:rsid w:val="00AD1D01"/>
    <w:rsid w:val="00AD3886"/>
    <w:rsid w:val="00AD47F3"/>
    <w:rsid w:val="00AD7CAC"/>
    <w:rsid w:val="00AE281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AC4"/>
    <w:rsid w:val="00B244B5"/>
    <w:rsid w:val="00B31272"/>
    <w:rsid w:val="00B328BD"/>
    <w:rsid w:val="00B32CC6"/>
    <w:rsid w:val="00B341B6"/>
    <w:rsid w:val="00B35D6F"/>
    <w:rsid w:val="00B360D5"/>
    <w:rsid w:val="00B41014"/>
    <w:rsid w:val="00B468B9"/>
    <w:rsid w:val="00B5178F"/>
    <w:rsid w:val="00B53028"/>
    <w:rsid w:val="00B55F42"/>
    <w:rsid w:val="00B57AAA"/>
    <w:rsid w:val="00B626F4"/>
    <w:rsid w:val="00B6365B"/>
    <w:rsid w:val="00B661FE"/>
    <w:rsid w:val="00B7007B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5294"/>
    <w:rsid w:val="00C56467"/>
    <w:rsid w:val="00C56EC5"/>
    <w:rsid w:val="00C57FBB"/>
    <w:rsid w:val="00C620BE"/>
    <w:rsid w:val="00C6490D"/>
    <w:rsid w:val="00C649DF"/>
    <w:rsid w:val="00C65088"/>
    <w:rsid w:val="00C6565F"/>
    <w:rsid w:val="00C6634C"/>
    <w:rsid w:val="00C72E1D"/>
    <w:rsid w:val="00C76D58"/>
    <w:rsid w:val="00C848BD"/>
    <w:rsid w:val="00C86E84"/>
    <w:rsid w:val="00C90BAE"/>
    <w:rsid w:val="00C91549"/>
    <w:rsid w:val="00C91BFE"/>
    <w:rsid w:val="00C92824"/>
    <w:rsid w:val="00C92E0D"/>
    <w:rsid w:val="00C9427F"/>
    <w:rsid w:val="00C95F17"/>
    <w:rsid w:val="00CA308F"/>
    <w:rsid w:val="00CA4575"/>
    <w:rsid w:val="00CB10B6"/>
    <w:rsid w:val="00CB437F"/>
    <w:rsid w:val="00CC1AE5"/>
    <w:rsid w:val="00CD1592"/>
    <w:rsid w:val="00CD235A"/>
    <w:rsid w:val="00CD57F6"/>
    <w:rsid w:val="00CE227F"/>
    <w:rsid w:val="00CE5EBA"/>
    <w:rsid w:val="00CF0B99"/>
    <w:rsid w:val="00CF1050"/>
    <w:rsid w:val="00CF18F7"/>
    <w:rsid w:val="00CF2753"/>
    <w:rsid w:val="00D003E5"/>
    <w:rsid w:val="00D01661"/>
    <w:rsid w:val="00D04727"/>
    <w:rsid w:val="00D0741F"/>
    <w:rsid w:val="00D135B7"/>
    <w:rsid w:val="00D152F0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75F2"/>
    <w:rsid w:val="00D90FE4"/>
    <w:rsid w:val="00D931A6"/>
    <w:rsid w:val="00D951DA"/>
    <w:rsid w:val="00D97C3D"/>
    <w:rsid w:val="00DA25A9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AB5"/>
    <w:rsid w:val="00DE37F7"/>
    <w:rsid w:val="00DE3B2E"/>
    <w:rsid w:val="00DE7531"/>
    <w:rsid w:val="00DF0A2C"/>
    <w:rsid w:val="00DF1C45"/>
    <w:rsid w:val="00DF5B51"/>
    <w:rsid w:val="00E02A82"/>
    <w:rsid w:val="00E0742D"/>
    <w:rsid w:val="00E07A93"/>
    <w:rsid w:val="00E1106C"/>
    <w:rsid w:val="00E12611"/>
    <w:rsid w:val="00E14307"/>
    <w:rsid w:val="00E15A43"/>
    <w:rsid w:val="00E16E17"/>
    <w:rsid w:val="00E176DE"/>
    <w:rsid w:val="00E20A7E"/>
    <w:rsid w:val="00E21AEB"/>
    <w:rsid w:val="00E3136A"/>
    <w:rsid w:val="00E34AA0"/>
    <w:rsid w:val="00E379D3"/>
    <w:rsid w:val="00E40C1E"/>
    <w:rsid w:val="00E50995"/>
    <w:rsid w:val="00E5236E"/>
    <w:rsid w:val="00E606F6"/>
    <w:rsid w:val="00E61763"/>
    <w:rsid w:val="00E61B2D"/>
    <w:rsid w:val="00E64A47"/>
    <w:rsid w:val="00E6551D"/>
    <w:rsid w:val="00E65CC5"/>
    <w:rsid w:val="00E73311"/>
    <w:rsid w:val="00E77C3C"/>
    <w:rsid w:val="00E81AEA"/>
    <w:rsid w:val="00E858FD"/>
    <w:rsid w:val="00E85A7F"/>
    <w:rsid w:val="00E85F30"/>
    <w:rsid w:val="00E876AC"/>
    <w:rsid w:val="00E91CA1"/>
    <w:rsid w:val="00E9456E"/>
    <w:rsid w:val="00EA074D"/>
    <w:rsid w:val="00EA0B4E"/>
    <w:rsid w:val="00EA218B"/>
    <w:rsid w:val="00EA7215"/>
    <w:rsid w:val="00EB0297"/>
    <w:rsid w:val="00EB3515"/>
    <w:rsid w:val="00EB5502"/>
    <w:rsid w:val="00EB5ECA"/>
    <w:rsid w:val="00EB718C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6242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10ED"/>
    <w:rsid w:val="00F61C3E"/>
    <w:rsid w:val="00F645DC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4AE6"/>
    <w:rsid w:val="00FB7FE9"/>
    <w:rsid w:val="00FC0A96"/>
    <w:rsid w:val="00FC3C66"/>
    <w:rsid w:val="00FC585B"/>
    <w:rsid w:val="00FC5AC3"/>
    <w:rsid w:val="00FD3B15"/>
    <w:rsid w:val="00FD6518"/>
    <w:rsid w:val="00FD6ED1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5B2C33-CD6A-4204-87F8-95F4B935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  <w:rPr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basedOn w:val="a0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basedOn w:val="a0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basedOn w:val="a0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basedOn w:val="a8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basedOn w:val="a0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basedOn w:val="a0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basedOn w:val="a0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basedOn w:val="a0"/>
    <w:link w:val="2"/>
    <w:uiPriority w:val="99"/>
    <w:locked/>
    <w:rsid w:val="00A14FCC"/>
    <w:rPr>
      <w:rFonts w:cs="Times New Roman"/>
      <w:b/>
      <w:sz w:val="30"/>
    </w:rPr>
  </w:style>
  <w:style w:type="character" w:styleId="af0">
    <w:name w:val="annotation reference"/>
    <w:basedOn w:val="a0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locked/>
    <w:rsid w:val="00272FC0"/>
    <w:rPr>
      <w:rFonts w:cs="Times New Roman"/>
      <w:sz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sz w:val="22"/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basedOn w:val="a0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basedOn w:val="a0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13</vt:lpstr>
    </vt:vector>
  </TitlesOfParts>
  <Company>КонсультантПлюс</Company>
  <LinksUpToDate>false</LinksUpToDate>
  <CharactersWithSpaces>29991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2017-04-17T14:07:00Z</cp:lastPrinted>
  <dcterms:created xsi:type="dcterms:W3CDTF">2017-04-21T13:33:00Z</dcterms:created>
  <dcterms:modified xsi:type="dcterms:W3CDTF">2017-04-21T13:33:00Z</dcterms:modified>
</cp:coreProperties>
</file>